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HUMPHREY RACHEL</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Pyxis Oncology,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PYXS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04/14/2025</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PYXIS ONCOLOGY, INC.</w:t>
            </w:r>
          </w:p>
        </w:tc>
        <w:tc>
          <w:tcPr>
            <w:tcW w:w="128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HARRISON AVENUE, 11TH FL. SUITE 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04/14/2025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0.9727</w:t>
            </w:r>
            <w:r>
              <w:rPr>
                <w:rFonts w:ascii="Times New Roman" w:cs="Times New Roman" w:eastAsia="Times New Roman" w:hAnsi="Times New Roman"/>
                <w:sz w:val="22"/>
                <w:szCs w:val="22"/>
                <w:color w:val="008000"/>
                <w:w w:val="92"/>
                <w:vertAlign w:val="superscript"/>
              </w:rPr>
              <w:t>(2)(3)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95,405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95,205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47"/>
              <w:spacing w:after="0"/>
              <w:rPr>
                <w:sz w:val="20"/>
                <w:szCs w:val="20"/>
                <w:color w:val="auto"/>
              </w:rPr>
            </w:pPr>
            <w:r>
              <w:rPr>
                <w:rFonts w:ascii="Times New Roman" w:cs="Times New Roman" w:eastAsia="Times New Roman" w:hAnsi="Times New Roman"/>
                <w:sz w:val="17"/>
                <w:szCs w:val="17"/>
                <w:color w:val="0000FF"/>
              </w:rPr>
              <w:t>04/21/2025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13,896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1.0335</w:t>
            </w:r>
            <w:r>
              <w:rPr>
                <w:rFonts w:ascii="Times New Roman" w:cs="Times New Roman" w:eastAsia="Times New Roman" w:hAnsi="Times New Roman"/>
                <w:sz w:val="22"/>
                <w:szCs w:val="22"/>
                <w:color w:val="008000"/>
                <w:w w:val="92"/>
                <w:vertAlign w:val="superscript"/>
              </w:rPr>
              <w:t>(2)(4)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81,309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sales of common stock executed in multiple transactions. The price reported reflects the weighted average sale price. The Reporting Person hereby undertakes to provide upon request by the Securities and Exchange Commission staff, the Issuer or a security holder of the Issuer full information regarding the number of shares and prices at which the sales were effected within the ranges set forth in footnotes 3 through 4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in prices ranging from $0.97 to $0.98.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in prices ranging from $0.97 to $1.09.</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Jitendra Wadhane,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1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Rachel</w:t>
        <w:tab/>
        <w:t>03/25/2026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79781" TargetMode="External"/><Relationship Id="rId14" Type="http://schemas.openxmlformats.org/officeDocument/2006/relationships/hyperlink" Target="http://www.sec.gov/cgi-bin/browse-edgar?action=getcompany&amp;CIK=00017822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2026-03-25T16:08:53Z</dcterms:created>
  <dcterms:modified xsi:type="dcterms:W3CDTF">2026-03-25T16:08:53Z</dcterms:modified>
</cp:coreProperties>
</file>