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06,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Pyxis Oncology,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001-40881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83-1160910</w:t>
            </w:r>
          </w:p>
        </w:tc>
      </w:tr>
      <w:tr>
        <w:trPr>
          <w:trHeight w:val="14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321 Harrison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Boston,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02118</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453-3596</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PYXS</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29" w:right="339" w:bottom="1148"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81" w:lineRule="exact"/>
        <w:rPr>
          <w:sz w:val="20"/>
          <w:szCs w:val="20"/>
          <w:color w:val="auto"/>
        </w:rPr>
      </w:pPr>
    </w:p>
    <w:p>
      <w:pPr>
        <w:ind w:right="220" w:firstLine="495"/>
        <w:spacing w:after="0" w:line="266" w:lineRule="auto"/>
        <w:rPr>
          <w:sz w:val="20"/>
          <w:szCs w:val="20"/>
          <w:color w:val="auto"/>
        </w:rPr>
      </w:pPr>
      <w:r>
        <w:rPr>
          <w:rFonts w:ascii="Times New Roman" w:cs="Times New Roman" w:eastAsia="Times New Roman" w:hAnsi="Times New Roman"/>
          <w:sz w:val="18"/>
          <w:szCs w:val="18"/>
          <w:color w:val="auto"/>
        </w:rPr>
        <w:t>On February 6, 2026, Pyxis Oncology, Inc. (the “Company”) filed a Current Report on Form 8-K (the “Original Form 8-K”) announcing that, among other items, Lara Sullivan, M.D. ceased serving as the Chief Executive Officer, principal executive officer, and in any other executive capacity of the Company, effective February 2, 2026.</w:t>
      </w:r>
    </w:p>
    <w:p>
      <w:pPr>
        <w:spacing w:after="0" w:line="176" w:lineRule="exact"/>
        <w:rPr>
          <w:sz w:val="20"/>
          <w:szCs w:val="20"/>
          <w:color w:val="auto"/>
        </w:rPr>
      </w:pPr>
    </w:p>
    <w:p>
      <w:pPr>
        <w:ind w:right="80" w:firstLine="450"/>
        <w:spacing w:after="0" w:line="282" w:lineRule="auto"/>
        <w:rPr>
          <w:sz w:val="20"/>
          <w:szCs w:val="20"/>
          <w:color w:val="auto"/>
        </w:rPr>
      </w:pPr>
      <w:r>
        <w:rPr>
          <w:rFonts w:ascii="Times New Roman" w:cs="Times New Roman" w:eastAsia="Times New Roman" w:hAnsi="Times New Roman"/>
          <w:sz w:val="18"/>
          <w:szCs w:val="18"/>
          <w:color w:val="auto"/>
        </w:rPr>
        <w:t>This Amendment No. 1 to the Original Form 8-K is being filed to report a Separation and General Release Agreement (the “Separation Agreement”) between the Company and Dr. Sullivan.</w:t>
      </w:r>
    </w:p>
    <w:p>
      <w:pPr>
        <w:spacing w:after="0" w:line="33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On April 29, 2026 (the “Effective Date”), the Separation Agreement between the Company and Dr. Sullivan became binding and effective, addressing Dr. Sullivan’s separation from the Company. Also on the Effective Date, Dr. Sullivan resigned from the Board of Directors of the Company. Dr. Sullivan’s resignation from the Board of Directors was not the result of any dispute or disagreement with the Company or the Company’s Board of Directors on any matter relating to the operations, policies or practices of the Company.</w:t>
      </w:r>
    </w:p>
    <w:p>
      <w:pPr>
        <w:spacing w:after="0" w:line="180" w:lineRule="exact"/>
        <w:rPr>
          <w:sz w:val="20"/>
          <w:szCs w:val="20"/>
          <w:color w:val="auto"/>
        </w:rPr>
      </w:pPr>
    </w:p>
    <w:p>
      <w:pPr>
        <w:ind w:right="20" w:firstLine="495"/>
        <w:spacing w:after="0" w:line="258" w:lineRule="auto"/>
        <w:rPr>
          <w:sz w:val="20"/>
          <w:szCs w:val="20"/>
          <w:color w:val="auto"/>
        </w:rPr>
      </w:pPr>
      <w:r>
        <w:rPr>
          <w:rFonts w:ascii="Times New Roman" w:cs="Times New Roman" w:eastAsia="Times New Roman" w:hAnsi="Times New Roman"/>
          <w:sz w:val="18"/>
          <w:szCs w:val="18"/>
          <w:color w:val="auto"/>
        </w:rPr>
        <w:t>Under the Separation Agreement, Dr. Sullivan will continue to receive her existing salary for 18 months and is entitled to continued health coverage for up to 12 months after the Effective Date. Additionally, the Compensation Committee of the Board approved the accelerated vesting of all unvested restricted stock units and unvested stock options previously granted to her and an extension of the post-termination exercise period for all of her accelerated stock options to December 31, 2030. The Separation Agreement also provides for a one-year post-separation non-solicitation covenant applicable to Dr. Sullivan and a one-year post-separation non-disparagement covenant applicable to both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1144270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Pyxis Oncology,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30, 2026</w:t>
      </w:r>
      <w:r>
        <w:rPr>
          <w:sz w:val="20"/>
          <w:szCs w:val="20"/>
          <w:color w:val="auto"/>
        </w:rPr>
        <w:tab/>
      </w:r>
      <w:r>
        <w:rPr>
          <w:rFonts w:ascii="Times New Roman" w:cs="Times New Roman" w:eastAsia="Times New Roman" w:hAnsi="Times New Roman"/>
          <w:sz w:val="18"/>
          <w:szCs w:val="18"/>
          <w:color w:val="auto"/>
        </w:rPr>
        <w:t>By:</w:t>
        <w:tab/>
        <w:t>/s/ Jitendra Wadhane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Jitendra Wadhane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2026-04-30T06:07:43Z</dcterms:created>
  <dcterms:modified xsi:type="dcterms:W3CDTF">2026-04-30T06:07:43Z</dcterms:modified>
</cp:coreProperties>
</file>