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Pyxis Oncology, Inc.</w:t>
      </w:r>
    </w:p>
    <w:p>
      <w:pPr>
        <w:sectPr>
          <w:pgSz w:w="11900" w:h="16838" w:orient="portrait"/>
          <w:cols w:equalWidth="0" w:num="1">
            <w:col w:w="11240"/>
          </w:cols>
          <w:pgMar w:left="320" w:top="1348"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83-1160910</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700" w:space="240"/>
            <w:col w:w="3300"/>
          </w:cols>
          <w:pgMar w:left="320" w:top="1348"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8"/>
          <w:szCs w:val="18"/>
          <w:b w:val="1"/>
          <w:bCs w:val="1"/>
          <w:color w:val="auto"/>
        </w:rPr>
        <w:t>321 Harrison Avenue</w:t>
      </w:r>
    </w:p>
    <w:p>
      <w:pPr>
        <w:spacing w:after="0" w:line="50" w:lineRule="exact"/>
        <w:rPr>
          <w:sz w:val="24"/>
          <w:szCs w:val="24"/>
          <w:color w:val="auto"/>
        </w:rPr>
      </w:pPr>
    </w:p>
    <w:p>
      <w:pPr>
        <w:ind w:left="194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Boston, Massachusetts</w:t>
      </w:r>
      <w:r>
        <w:rPr>
          <w:sz w:val="20"/>
          <w:szCs w:val="20"/>
          <w:color w:val="auto"/>
        </w:rPr>
        <w:tab/>
      </w:r>
      <w:r>
        <w:rPr>
          <w:rFonts w:ascii="Times New Roman" w:cs="Times New Roman" w:eastAsia="Times New Roman" w:hAnsi="Times New Roman"/>
          <w:sz w:val="18"/>
          <w:szCs w:val="18"/>
          <w:b w:val="1"/>
          <w:bCs w:val="1"/>
          <w:color w:val="auto"/>
        </w:rPr>
        <w:t>02118</w:t>
      </w:r>
    </w:p>
    <w:p>
      <w:pPr>
        <w:spacing w:after="0" w:line="41"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453-3596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PYXS</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6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13, 2026, the registrant had 63,355,482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Summary Risk Factors</w:t>
            </w:r>
          </w:p>
        </w:tc>
        <w:tc>
          <w:tcPr>
            <w:tcW w:w="8800" w:type="dxa"/>
            <w:vAlign w:val="bottom"/>
            <w:gridSpan w:val="21"/>
            <w:vMerge w:val="restart"/>
          </w:tcPr>
          <w:p>
            <w:pPr>
              <w:spacing w:after="0"/>
              <w:rPr>
                <w:sz w:val="15"/>
                <w:szCs w:val="15"/>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660" w:type="dxa"/>
            <w:vAlign w:val="bottom"/>
            <w:tcBorders>
              <w:bottom w:val="single" w:sz="8" w:color="0000FF"/>
            </w:tcBorders>
            <w:gridSpan w:val="4"/>
            <w:vMerge w:val="continue"/>
          </w:tcPr>
          <w:p>
            <w:pPr>
              <w:spacing w:after="0"/>
              <w:rPr>
                <w:sz w:val="14"/>
                <w:szCs w:val="14"/>
                <w:color w:val="auto"/>
              </w:rPr>
            </w:pPr>
          </w:p>
        </w:tc>
        <w:tc>
          <w:tcPr>
            <w:tcW w:w="8800" w:type="dxa"/>
            <w:vAlign w:val="bottom"/>
            <w:gridSpan w:val="21"/>
            <w:vMerge w:val="continue"/>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7020" w:type="dxa"/>
            <w:vAlign w:val="bottom"/>
            <w:gridSpan w:val="1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w:t>
            </w:r>
          </w:p>
        </w:tc>
        <w:tc>
          <w:tcPr>
            <w:tcW w:w="20" w:type="dxa"/>
            <w:vAlign w:val="bottom"/>
            <w:tcBorders>
              <w:bottom w:val="single" w:sz="8" w:color="0000EE"/>
            </w:tcBorders>
          </w:tcPr>
          <w:p>
            <w:pPr>
              <w:spacing w:after="0"/>
              <w:rPr>
                <w:sz w:val="17"/>
                <w:szCs w:val="17"/>
                <w:color w:val="auto"/>
              </w:rPr>
            </w:pPr>
          </w:p>
        </w:tc>
        <w:tc>
          <w:tcPr>
            <w:tcW w:w="302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2026 and</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3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2026 and 2025</w:t>
            </w:r>
          </w:p>
        </w:tc>
        <w:tc>
          <w:tcPr>
            <w:tcW w:w="94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w:t>
            </w:r>
          </w:p>
        </w:tc>
        <w:tc>
          <w:tcPr>
            <w:tcW w:w="162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20" w:type="dxa"/>
            <w:vAlign w:val="bottom"/>
            <w:gridSpan w:val="9"/>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286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17"/>
                <w:szCs w:val="17"/>
                <w:color w:val="auto"/>
              </w:rPr>
            </w:pPr>
          </w:p>
        </w:tc>
        <w:tc>
          <w:tcPr>
            <w:tcW w:w="7420" w:type="dxa"/>
            <w:vAlign w:val="bottom"/>
            <w:gridSpan w:val="1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8"/>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17"/>
                <w:szCs w:val="17"/>
                <w:color w:val="auto"/>
              </w:rPr>
            </w:pPr>
          </w:p>
        </w:tc>
        <w:tc>
          <w:tcPr>
            <w:tcW w:w="7000" w:type="dxa"/>
            <w:vAlign w:val="bottom"/>
            <w:gridSpan w:val="1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8"/>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869"/>
        <w:spacing w:after="0" w:line="261" w:lineRule="auto"/>
        <w:rPr>
          <w:sz w:val="20"/>
          <w:szCs w:val="20"/>
          <w:color w:val="auto"/>
        </w:rPr>
      </w:pPr>
      <w:r>
        <w:rPr>
          <w:rFonts w:ascii="Times New Roman" w:cs="Times New Roman" w:eastAsia="Times New Roman" w:hAnsi="Times New Roman"/>
          <w:sz w:val="18"/>
          <w:szCs w:val="18"/>
          <w:color w:val="auto"/>
        </w:rPr>
        <w:t>You should consider carefully the risks described under “Risk Factors” in Part II, Item 1A of this Quarterly Report on Form 10-Q. References to “Pyxis Oncology,” the “Company,” “we,” “us,” and “our” in this section titled “Summary Risk Factors” refer to Pyxis Oncology, Inc. and its wholly owned subsidiaries. A summary of the risks that could materially and adversely affect our business, financial condition, operating results and prospects include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oncology company with a limited operating history and have incurred significant losses since our inception and anticipate that we will continue to incur losses over at least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doubt about our ability to continue as a going concern and we will require substantial additional capital to finance our operations. If we are unable to raise such capital when needed, or on acceptable terms, we may not be able to continue as a going concern or we may be forced to delay, reduce or eliminate one or more of our research and product development programs or future commercialization efforts.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the success of our lead product candidate, micvotabart pelidotin (MICVO), formerly known as PYX-201, which is in the early stages of clinical development. If our lead product candidate is not successful in clinical trials or does not receive regulatory approval or licensure or is not successfully commercialized, our business will be materially and adversely affected.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 may fail in development or suffer delays that materially and adversely affect its commercial viability. If we or our existing or future collaborators are unable to initiate and complete clinical development of, obtain regulatory approval or licensure for or commercialize our product candidate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 may cause undesirable and unforeseen side effects or have other properties impacting safety that could halt its clinical development, delay or prevent its regulatory licensure, limit its commercial potential or result in significant negative consequences.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significant competition from other oncology-focused biotechnology and pharmaceutical entities,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product development is a lengthy and expensive process with an uncertain outcome. We may incur unexpected costs or experience delays in completing, or ultimately be unable to complete, the clinical testing and the development and commercialization of our product candidate.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licensure and approval processes of the FDA and other comparable foreign regulatory authorities are lengthy, time-consuming and inherently unpredictable and, if we are unable to obtain marketing licensure or approval for our product candidate, our business will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senior management and key scientific personnel, our business may be materially and adversely affected.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our product candidate. Any failure by a third party manufacturer to produce acceptable raw materials or product candidate for us or to obtain authorization from the FDA or comparable foreign regulatory authorities relating thereto may delay or impair our ability to initiate or complete our clinical trials, obtain regulatory licensure or approvals or commercialize approved products.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our intellectual property in and to our product candidates, we may not be able to compete effectively in our markets.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any license, collaboration or other agreements, we may be required to pay damages and could lose intellectual property rights that are necessary for developing and protecting our product candidate or we could lose certain rights to grant sublicenses.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If we breach our Pfizer license agreement or any of the other agreements under which we acquired, or will acquire, intellectual property rights covering our product candidate, we could lose the ability to continue the development and commercialization of the related product candidate(s).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failures to comply with applicable data protection, privacy and security laws, regulations, standards and other requirements could adversely affect our business, operations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jc w:val="both"/>
        <w:ind w:left="503"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or those of any of our existing or future CROs, manufacturers, other contractors, consultants, or collaborators, may be compromised, which could result in additional costs, significant liabilities, harm to our reputation and material disruption of our operations.</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18"/>
                <w:szCs w:val="18"/>
                <w:color w:val="auto"/>
              </w:rPr>
            </w:pPr>
          </w:p>
        </w:tc>
      </w:tr>
      <w:tr>
        <w:trPr>
          <w:trHeight w:val="209"/>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64,300</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91,520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18"/>
                <w:szCs w:val="18"/>
                <w:color w:val="auto"/>
              </w:rPr>
            </w:pPr>
          </w:p>
        </w:tc>
      </w:tr>
      <w:tr>
        <w:trPr>
          <w:trHeight w:val="210"/>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tcPr>
          <w:p>
            <w:pPr>
              <w:spacing w:after="0"/>
              <w:rPr>
                <w:sz w:val="18"/>
                <w:szCs w:val="18"/>
                <w:color w:val="auto"/>
              </w:rPr>
            </w:pPr>
          </w:p>
        </w:tc>
      </w:tr>
      <w:tr>
        <w:trPr>
          <w:trHeight w:val="210"/>
        </w:trPr>
        <w:tc>
          <w:tcPr>
            <w:tcW w:w="69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9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par value $0.001 per share, 10,000,000 shares authorized; zero shares</w:t>
            </w:r>
          </w:p>
        </w:tc>
        <w:tc>
          <w:tcPr>
            <w:tcW w:w="240" w:type="dxa"/>
            <w:vAlign w:val="bottom"/>
          </w:tcPr>
          <w:p>
            <w:pPr>
              <w:spacing w:after="0"/>
              <w:rPr>
                <w:sz w:val="17"/>
                <w:szCs w:val="17"/>
                <w:color w:val="auto"/>
              </w:rPr>
            </w:pPr>
          </w:p>
        </w:tc>
        <w:tc>
          <w:tcPr>
            <w:tcW w:w="190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w:t>
            </w: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9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190,000,000 shares authorized; 62,831,246 and</w:t>
            </w:r>
          </w:p>
        </w:tc>
        <w:tc>
          <w:tcPr>
            <w:tcW w:w="2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7"/>
                <w:szCs w:val="17"/>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62,690,229 shares issued and outstanding as of March 31, 2026 and December 31, 2025,</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496,469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(466,449)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(443,177)</w:t>
            </w:r>
          </w:p>
        </w:tc>
      </w:tr>
      <w:tr>
        <w:trPr>
          <w:trHeight w:val="210"/>
        </w:trPr>
        <w:tc>
          <w:tcPr>
            <w:tcW w:w="69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64,300</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91,520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-3119755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-1855470</wp:posOffset>
            </wp:positionV>
            <wp:extent cx="939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-1855470</wp:posOffset>
            </wp:positionV>
            <wp:extent cx="939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7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4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0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 :</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(24,360)</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(22,914)</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Sublease income</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r>
      <w:tr>
        <w:trPr>
          <w:trHeight w:val="209"/>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(23,272)</w:t>
            </w:r>
          </w:p>
        </w:tc>
        <w:tc>
          <w:tcPr>
            <w:tcW w:w="1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(21,158)</w:t>
            </w:r>
          </w:p>
        </w:tc>
      </w:tr>
      <w:tr>
        <w:trPr>
          <w:trHeight w:val="20"/>
        </w:trPr>
        <w:tc>
          <w:tcPr>
            <w:tcW w:w="7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40" w:type="dxa"/>
            <w:vAlign w:val="bottom"/>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(0.35)</w:t>
            </w:r>
          </w:p>
        </w:tc>
      </w:tr>
      <w:tr>
        <w:trPr>
          <w:trHeight w:val="210"/>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 and diluted</w:t>
            </w: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63,469,850</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61,048,948</w:t>
            </w:r>
          </w:p>
        </w:tc>
        <w:tc>
          <w:tcPr>
            <w:tcW w:w="100" w:type="dxa"/>
            <w:vAlign w:val="bottom"/>
            <w:tcBorders>
              <w:top w:val="single" w:sz="8" w:color="CFF0FC"/>
            </w:tcBorders>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loss on marketable debt securities</w:t>
            </w:r>
          </w:p>
        </w:tc>
        <w:tc>
          <w:tcPr>
            <w:tcW w:w="4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7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70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(23,325)</w:t>
            </w:r>
          </w:p>
        </w:tc>
        <w:tc>
          <w:tcPr>
            <w:tcW w:w="1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(21,279)</w:t>
            </w:r>
          </w:p>
        </w:tc>
      </w:tr>
      <w:tr>
        <w:trPr>
          <w:trHeight w:val="20"/>
        </w:trPr>
        <w:tc>
          <w:tcPr>
            <w:tcW w:w="7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-1919605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-1071245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-762635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660" w:type="dxa"/>
            <w:vAlign w:val="bottom"/>
            <w:gridSpan w:val="4"/>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620" w:type="dxa"/>
            <w:vAlign w:val="bottom"/>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2"/>
                <w:szCs w:val="12"/>
                <w:color w:val="auto"/>
              </w:rPr>
            </w:pPr>
          </w:p>
        </w:tc>
        <w:tc>
          <w:tcPr>
            <w:tcW w:w="8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00" w:type="dxa"/>
            <w:vAlign w:val="bottom"/>
          </w:tcPr>
          <w:p>
            <w:pPr>
              <w:spacing w:after="0"/>
              <w:rPr>
                <w:sz w:val="12"/>
                <w:szCs w:val="12"/>
                <w:color w:val="auto"/>
              </w:rPr>
            </w:pPr>
          </w:p>
        </w:tc>
        <w:tc>
          <w:tcPr>
            <w:tcW w:w="90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80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1"/>
                <w:szCs w:val="11"/>
                <w:color w:val="auto"/>
              </w:rPr>
            </w:pPr>
          </w:p>
        </w:tc>
        <w:tc>
          <w:tcPr>
            <w:tcW w:w="78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62,690,229</w:t>
            </w:r>
          </w:p>
        </w:tc>
        <w:tc>
          <w:tcPr>
            <w:tcW w:w="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w:t>
            </w: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496,469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(443,177)</w:t>
            </w:r>
          </w:p>
        </w:tc>
        <w:tc>
          <w:tcPr>
            <w:tcW w:w="240" w:type="dxa"/>
            <w:vAlign w:val="bottom"/>
            <w:gridSpan w:val="2"/>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53,408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restricted common stock, net of tax withholdings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141,017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5"/>
        </w:trPr>
        <w:tc>
          <w:tcPr>
            <w:tcW w:w="5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unrealized loss on marketable debt securities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5"/>
        </w:trPr>
        <w:tc>
          <w:tcPr>
            <w:tcW w:w="5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(23,272)</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(23,272)</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62,831,246</w:t>
            </w: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w:t>
            </w:r>
          </w:p>
        </w:tc>
        <w:tc>
          <w:tcPr>
            <w:tcW w:w="2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497,654</w:t>
            </w:r>
          </w:p>
        </w:tc>
        <w:tc>
          <w:tcPr>
            <w:tcW w:w="220" w:type="dxa"/>
            <w:vAlign w:val="bottom"/>
          </w:tcPr>
          <w:p>
            <w:pPr>
              <w:spacing w:after="0"/>
              <w:rPr>
                <w:sz w:val="11"/>
                <w:szCs w:val="11"/>
                <w:color w:val="auto"/>
              </w:rPr>
            </w:pPr>
          </w:p>
        </w:tc>
        <w:tc>
          <w:tcPr>
            <w:tcW w:w="140" w:type="dxa"/>
            <w:vAlign w:val="bottom"/>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(466,449)</w:t>
            </w:r>
          </w:p>
        </w:tc>
        <w:tc>
          <w:tcPr>
            <w:tcW w:w="24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31,268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660" w:type="dxa"/>
            <w:vAlign w:val="bottom"/>
            <w:gridSpan w:val="4"/>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620" w:type="dxa"/>
            <w:vAlign w:val="bottom"/>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2"/>
                <w:szCs w:val="12"/>
                <w:color w:val="auto"/>
              </w:rPr>
            </w:pPr>
          </w:p>
        </w:tc>
        <w:tc>
          <w:tcPr>
            <w:tcW w:w="8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00" w:type="dxa"/>
            <w:vAlign w:val="bottom"/>
          </w:tcPr>
          <w:p>
            <w:pPr>
              <w:spacing w:after="0"/>
              <w:rPr>
                <w:sz w:val="12"/>
                <w:szCs w:val="12"/>
                <w:color w:val="auto"/>
              </w:rPr>
            </w:pPr>
          </w:p>
        </w:tc>
        <w:tc>
          <w:tcPr>
            <w:tcW w:w="90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80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1"/>
                <w:szCs w:val="11"/>
                <w:color w:val="auto"/>
              </w:rPr>
            </w:pPr>
          </w:p>
        </w:tc>
        <w:tc>
          <w:tcPr>
            <w:tcW w:w="78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59,967,814</w:t>
            </w:r>
          </w:p>
        </w:tc>
        <w:tc>
          <w:tcPr>
            <w:tcW w:w="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w:t>
            </w: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484,077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(363,556)</w:t>
            </w:r>
          </w:p>
        </w:tc>
        <w:tc>
          <w:tcPr>
            <w:tcW w:w="240" w:type="dxa"/>
            <w:vAlign w:val="bottom"/>
            <w:gridSpan w:val="2"/>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120,751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1,611,215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restricted common stock, net of tax withholdings</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22,728</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5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stock purchase plan (ESPP)</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5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3,631</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3,631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unrealized loss on marketable debt securities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35"/>
        </w:trPr>
        <w:tc>
          <w:tcPr>
            <w:tcW w:w="5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(21,158)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(21,158)</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61,631,376</w:t>
            </w: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w:t>
            </w:r>
          </w:p>
        </w:tc>
        <w:tc>
          <w:tcPr>
            <w:tcW w:w="2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487,706</w:t>
            </w:r>
          </w:p>
        </w:tc>
        <w:tc>
          <w:tcPr>
            <w:tcW w:w="220" w:type="dxa"/>
            <w:vAlign w:val="bottom"/>
          </w:tcPr>
          <w:p>
            <w:pPr>
              <w:spacing w:after="0"/>
              <w:rPr>
                <w:sz w:val="11"/>
                <w:szCs w:val="11"/>
                <w:color w:val="auto"/>
              </w:rPr>
            </w:pPr>
          </w:p>
        </w:tc>
        <w:tc>
          <w:tcPr>
            <w:tcW w:w="140" w:type="dxa"/>
            <w:vAlign w:val="bottom"/>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w:t>
            </w:r>
          </w:p>
        </w:tc>
        <w:tc>
          <w:tcPr>
            <w:tcW w:w="22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(384,714)</w:t>
            </w:r>
          </w:p>
        </w:tc>
        <w:tc>
          <w:tcPr>
            <w:tcW w:w="24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103,103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-1362710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-1362710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-1362710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-1362710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-1362710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-119380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-119380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-119380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-119380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-119380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 w:name="page8"/>
    <w:bookmarkEnd w:id="7"/>
    <w:p>
      <w:pPr>
        <w:ind w:left="45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(In thousands)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(23,272)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(21,158)</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Accretion of discount on marketable debt securities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7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7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(2,013)</w:t>
            </w:r>
          </w:p>
        </w:tc>
      </w:tr>
      <w:tr>
        <w:trPr>
          <w:trHeight w:val="216"/>
        </w:trPr>
        <w:tc>
          <w:tcPr>
            <w:tcW w:w="72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(1,295)</w:t>
            </w:r>
          </w:p>
        </w:tc>
      </w:tr>
      <w:tr>
        <w:trPr>
          <w:trHeight w:val="216"/>
        </w:trPr>
        <w:tc>
          <w:tcPr>
            <w:tcW w:w="7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72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2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(22,535)</w:t>
            </w: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marketable debt securities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67,173</w:t>
            </w: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marketable debt securities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(10,992)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(51,352)</w:t>
            </w: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15,821</w:t>
            </w:r>
          </w:p>
        </w:tc>
        <w:tc>
          <w:tcPr>
            <w:tcW w:w="120" w:type="dxa"/>
            <w:vAlign w:val="bottom"/>
          </w:tcPr>
          <w:p>
            <w:pPr>
              <w:spacing w:after="0"/>
              <w:rPr>
                <w:sz w:val="18"/>
                <w:szCs w:val="18"/>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pre-funded warrants in private placement, net of</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offering costs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withholding payments related to net settlement of restricted common stock</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2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7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(9,656)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(6,714)</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120" w:type="dxa"/>
            <w:vAlign w:val="bottom"/>
          </w:tcPr>
          <w:p>
            <w:pPr>
              <w:spacing w:after="0"/>
              <w:rPr>
                <w:sz w:val="18"/>
                <w:szCs w:val="18"/>
                <w:color w:val="auto"/>
              </w:rPr>
            </w:pPr>
          </w:p>
        </w:tc>
      </w:tr>
      <w:tr>
        <w:trPr>
          <w:trHeight w:val="25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3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7,238</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14,231</w:t>
            </w:r>
          </w:p>
        </w:tc>
        <w:tc>
          <w:tcPr>
            <w:tcW w:w="120" w:type="dxa"/>
            <w:vAlign w:val="bottom"/>
            <w:shd w:val="clear" w:color="auto" w:fill="CFF0FC"/>
          </w:tcPr>
          <w:p>
            <w:pPr>
              <w:spacing w:after="0"/>
              <w:rPr>
                <w:sz w:val="21"/>
                <w:szCs w:val="21"/>
                <w:color w:val="auto"/>
              </w:rPr>
            </w:pPr>
          </w:p>
        </w:tc>
      </w:tr>
      <w:tr>
        <w:trPr>
          <w:trHeight w:val="197"/>
        </w:trPr>
        <w:tc>
          <w:tcPr>
            <w:tcW w:w="72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2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Pr>
          <w:p>
            <w:pPr>
              <w:spacing w:after="0"/>
              <w:rPr>
                <w:sz w:val="18"/>
                <w:szCs w:val="18"/>
                <w:color w:val="auto"/>
              </w:rPr>
            </w:pPr>
          </w:p>
        </w:tc>
      </w:tr>
      <w:tr>
        <w:trPr>
          <w:trHeight w:val="230"/>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statement of cash flows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7,238</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14,231</w:t>
            </w:r>
          </w:p>
        </w:tc>
        <w:tc>
          <w:tcPr>
            <w:tcW w:w="120" w:type="dxa"/>
            <w:vAlign w:val="bottom"/>
            <w:shd w:val="clear" w:color="auto" w:fill="CFF0FC"/>
          </w:tcPr>
          <w:p>
            <w:pPr>
              <w:spacing w:after="0"/>
              <w:rPr>
                <w:sz w:val="19"/>
                <w:szCs w:val="19"/>
                <w:color w:val="auto"/>
              </w:rPr>
            </w:pP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-2451100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-2451100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-1898015</wp:posOffset>
            </wp:positionV>
            <wp:extent cx="9398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-1898015</wp:posOffset>
            </wp:positionV>
            <wp:extent cx="10287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-1182370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-607695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-590550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Pyxis Oncology, Inc. (the “Company”), a Delaware corporation, was founded in June 2018 and launched its operations in July 2019. The Company is a clinical stage oncology company executing on a development strategy designed to address unmet medical needs in patients with solid tumors with a specific focus on head and neck squamous cell carcinoma (HNSCC) tumors.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fiscal year ends on December 31 and its first three fiscal quarters end on March 31, June 30 and September 30. The accompanying condensed consolidated financial statements are unaudited. The unaudited condensed consolidated financial statements of the Company have been prepared in accordance with generally accepted accounting principles in the United States of America (GAAP) and follow the requirements of the Securities and Exchange Commission (SEC) for interim financial reporting. Accordingly, they do not include all of the information and disclosures required by U.S. GAAP for complete financial statements as certain footnotes or other financial information that are normally required by U.S. GAAP can be condensed or omitted. The unaudited condensed consolidated financial statements have been prepared on the same basis as the audited consolidated financial statements. The unaudited condensed consolidated financial statements include the accounts of the Company and its wholly-owned subsidiaries. The Company has no unconsolidated subsidiaries. All intercompany balances and transactions have been eliminated in consolidation. Any reference in these notes to applicable guidance is meant to refer to the authoritative U.S. GAAP as found in the Accounting Standards Codification (ASC) and Accounting Standards Updates (ASU) of the Financial Accounting Standards Board (FASB).</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include all normal and recurring adjustments that are considered necessary for the fair statement of results for the interim periods. The results for the three months ended March 31, 2026 are not necessarily indicative of those expected for the year ending December 31, 2026 or for any future period. The condensed consolidated balance sheet as of December 31, 2025 included herein was derived from the audited consolidated financial statements as of that date. These unaudited condensed consolidated financial statements should be read in conjunction with the Company’s audited consolidated financial statements and the related notes thereto for the year ended December 31, 2025, included in the Company’s Annual Report on Form 10-K filed with the SEC on March 23, 2026 (Fiscal 2025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including net losses of $23.3 million and $21.2 million for the three months ended March 31, 2026 and 2025, respectively. As of March 31, 2026, the Company had an accumulated deficit of $466.4 million and cash, cash equivalents, and marketable debt securities of $41.0 million.</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future cash flows are dependent on key variables such as its ability to secure additional sources of funding in the form of public or private financing of equity or debt, collaboration agreements, or a combination of these. While the Company remains optimistic to obtain additional funding, the current available cash, cash equivalents and marketable debt securities will not be sufficient to fund the Company's operations over the next 12 months from the date these unaudited condensed consolidated financial statements were included within this Quarterly Report on Form 10-Q. These conditions raise substantial doubt about the Company’s ability to continue as a going concern for one year from the date these unaudited condensed consolidated financial statements were issued.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plans to continue to fund its losses from operations and capital funding needs through public or private equity, convertible or debt financing or other sources. There are inherent uncertainties as the outcome of these potential transactions are outside management’s control, and therefore there are no assurances that any of these potential transactions will occur. In addition, there can be no assurances that these transactions will sufficiently improve the Company's liquidity or that the Company will otherwise realize the anticipated benefits.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and assumptions that affect the reported amounts of assets, liabilities, expense and related disclosures. The Company regularly evaluates estimates and assumptions related to assets, liabilities, stock-based compensation, operating leases, assessment of the useful lives of property and equipment, marketable debt securities and research and development costs, including clinical trial accruals.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w:t>
      </w:r>
    </w:p>
    <w:p>
      <w:pPr>
        <w:spacing w:after="0" w:line="79" w:lineRule="exact"/>
        <w:rPr>
          <w:sz w:val="20"/>
          <w:szCs w:val="20"/>
          <w:color w:val="auto"/>
        </w:rPr>
      </w:pPr>
    </w:p>
    <w:p>
      <w:pPr>
        <w:ind w:right="2120" w:firstLine="509"/>
        <w:spacing w:after="0" w:line="375" w:lineRule="auto"/>
        <w:rPr>
          <w:sz w:val="20"/>
          <w:szCs w:val="20"/>
          <w:color w:val="auto"/>
        </w:rPr>
      </w:pPr>
      <w:r>
        <w:rPr>
          <w:rFonts w:ascii="Times New Roman" w:cs="Times New Roman" w:eastAsia="Times New Roman" w:hAnsi="Times New Roman"/>
          <w:sz w:val="18"/>
          <w:szCs w:val="18"/>
          <w:color w:val="auto"/>
        </w:rPr>
        <w:t xml:space="preserve">Actual results could differ from those estimates and there may be changes to management’s estimates in future periods. </w:t>
      </w:r>
      <w:r>
        <w:rPr>
          <w:rFonts w:ascii="Times New Roman" w:cs="Times New Roman" w:eastAsia="Times New Roman" w:hAnsi="Times New Roman"/>
          <w:sz w:val="18"/>
          <w:szCs w:val="18"/>
          <w:b w:val="1"/>
          <w:bCs w:val="1"/>
          <w:i w:val="1"/>
          <w:iCs w:val="1"/>
          <w:color w:val="auto"/>
        </w:rPr>
        <w:t>Risks and Uncertainties</w:t>
      </w:r>
    </w:p>
    <w:p>
      <w:pPr>
        <w:spacing w:after="0" w:line="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early clinical stage companies in the biopharmaceutical industry including, but not limited to, uncertainties related to commercialization of products, regulatory approvals, dependence on key suppliers for active ingredients and third party service providers such as contract research organizations (CROs) and contract development and manufacturing organizations (CDMOs), protection of intellectual property rights and the ability to make milestone, royalty or other payments due under any license, collaboration or supply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of cash and cash equivalents, restricted cash and marketable debt securities.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invests its excess cash primarily in money market funds and highly liquid United States (U.S.) Treasury securities. The Company has adopted an investment policy that includes guidelines relative to credit quality, diversification and maturities to preserve principal and liquidity.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disclosed in “Note 2 – Basis of Presentation and Summary of Significant Accounting Policies” of the Company’s Fiscal 2025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amendment requires disaggregated disclosure of (i) certain costs and expenses,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already required disclosures must be included in the same disclosure as the new disaggregation requirements and (iii) a qualitative description of the amounts not separately disaggregated. The amendments are effective for annual periods beginning after December 15, 2026, and interim periods beginning after December 15, 2027, early adoption is permitted. The Company is currently evaluating the impact of the new standard on the Company's unaudited condensed consolidated financial statements and related disclosures.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financial instruments carried at fair value on a recurring basis as of March 31, 2026 and December 31, 2025, respectively, in accordance with the FASB ASC 820 hierarchy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35,252</w:t>
            </w:r>
          </w:p>
        </w:tc>
        <w:tc>
          <w:tcPr>
            <w:tcW w:w="100" w:type="dxa"/>
            <w:vAlign w:val="bottom"/>
          </w:tcPr>
          <w:p>
            <w:pPr>
              <w:spacing w:after="0"/>
              <w:rPr>
                <w:sz w:val="18"/>
                <w:szCs w:val="18"/>
                <w:color w:val="auto"/>
              </w:rPr>
            </w:pPr>
          </w:p>
        </w:tc>
      </w:tr>
      <w:tr>
        <w:trPr>
          <w:trHeight w:val="230"/>
        </w:trPr>
        <w:tc>
          <w:tcPr>
            <w:tcW w:w="3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6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40,259</w:t>
            </w:r>
          </w:p>
        </w:tc>
        <w:tc>
          <w:tcPr>
            <w:tcW w:w="100" w:type="dxa"/>
            <w:vAlign w:val="bottom"/>
            <w:shd w:val="clear" w:color="auto" w:fill="CFF0FC"/>
          </w:tcPr>
          <w:p>
            <w:pPr>
              <w:spacing w:after="0"/>
              <w:rPr>
                <w:sz w:val="19"/>
                <w:szCs w:val="19"/>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100" w:type="dxa"/>
            <w:vAlign w:val="bottom"/>
          </w:tcPr>
          <w:p>
            <w:pPr>
              <w:spacing w:after="0"/>
              <w:rPr>
                <w:sz w:val="18"/>
                <w:szCs w:val="18"/>
                <w:color w:val="auto"/>
              </w:rPr>
            </w:pPr>
          </w:p>
        </w:tc>
      </w:tr>
      <w:tr>
        <w:trPr>
          <w:trHeight w:val="250"/>
        </w:trPr>
        <w:tc>
          <w:tcPr>
            <w:tcW w:w="3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52,108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6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52,108</w:t>
            </w:r>
          </w:p>
        </w:tc>
        <w:tc>
          <w:tcPr>
            <w:tcW w:w="100" w:type="dxa"/>
            <w:vAlign w:val="bottom"/>
            <w:shd w:val="clear" w:color="auto" w:fill="CFF0FC"/>
          </w:tcPr>
          <w:p>
            <w:pPr>
              <w:spacing w:after="0"/>
              <w:rPr>
                <w:sz w:val="21"/>
                <w:szCs w:val="21"/>
                <w:color w:val="auto"/>
              </w:rPr>
            </w:pPr>
          </w:p>
        </w:tc>
      </w:tr>
      <w:tr>
        <w:trPr>
          <w:trHeight w:val="628"/>
        </w:trPr>
        <w:tc>
          <w:tcPr>
            <w:tcW w:w="34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-2082165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-2065020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-2082165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-2065020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-2082165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-2065020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-933450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-916305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-933450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-916305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-933450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-916305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money market fund quoted in an active market and are classified as Level 1 assets. Marketable debt securities include investments in United States Treasury securities and are classified as Level 1 assets as they are valued using quoted prices in active markets. There were no transfers between Level 1 and Level 2 of the fair value hierarchy during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Debt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debt securities, all of which were classified as available-for-sale, consist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ind w:right="70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340" w:type="dxa"/>
            <w:vAlign w:val="bottom"/>
          </w:tcPr>
          <w:p>
            <w:pPr>
              <w:spacing w:after="0"/>
              <w:rPr>
                <w:sz w:val="16"/>
                <w:szCs w:val="16"/>
                <w:color w:val="auto"/>
              </w:rPr>
            </w:pPr>
          </w:p>
        </w:tc>
        <w:tc>
          <w:tcPr>
            <w:tcW w:w="17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r>
      <w:tr>
        <w:trPr>
          <w:trHeight w:val="238"/>
        </w:trPr>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40" w:type="dxa"/>
            <w:vAlign w:val="bottom"/>
          </w:tcPr>
          <w:p>
            <w:pPr>
              <w:spacing w:after="0"/>
              <w:rPr>
                <w:sz w:val="20"/>
                <w:szCs w:val="20"/>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7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35,252</w:t>
            </w:r>
          </w:p>
        </w:tc>
        <w:tc>
          <w:tcPr>
            <w:tcW w:w="10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35,252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35,252</w:t>
            </w:r>
          </w:p>
        </w:tc>
        <w:tc>
          <w:tcPr>
            <w:tcW w:w="100" w:type="dxa"/>
            <w:vAlign w:val="bottom"/>
            <w:shd w:val="clear" w:color="auto" w:fill="CFF0FC"/>
          </w:tcPr>
          <w:p>
            <w:pPr>
              <w:spacing w:after="0"/>
              <w:rPr>
                <w:sz w:val="19"/>
                <w:szCs w:val="19"/>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2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2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ind w:right="70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340" w:type="dxa"/>
            <w:vAlign w:val="bottom"/>
          </w:tcPr>
          <w:p>
            <w:pPr>
              <w:spacing w:after="0"/>
              <w:rPr>
                <w:sz w:val="16"/>
                <w:szCs w:val="16"/>
                <w:color w:val="auto"/>
              </w:rPr>
            </w:pPr>
          </w:p>
        </w:tc>
        <w:tc>
          <w:tcPr>
            <w:tcW w:w="17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r>
      <w:tr>
        <w:trPr>
          <w:trHeight w:val="238"/>
        </w:trPr>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40" w:type="dxa"/>
            <w:vAlign w:val="bottom"/>
          </w:tcPr>
          <w:p>
            <w:pPr>
              <w:spacing w:after="0"/>
              <w:rPr>
                <w:sz w:val="20"/>
                <w:szCs w:val="20"/>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7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10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51,382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51,435</w:t>
            </w:r>
          </w:p>
        </w:tc>
        <w:tc>
          <w:tcPr>
            <w:tcW w:w="100" w:type="dxa"/>
            <w:vAlign w:val="bottom"/>
            <w:shd w:val="clear" w:color="auto" w:fill="CFF0FC"/>
          </w:tcPr>
          <w:p>
            <w:pPr>
              <w:spacing w:after="0"/>
              <w:rPr>
                <w:sz w:val="19"/>
                <w:szCs w:val="19"/>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-1036320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-1019175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-1036320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-1019175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-1036320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-1019175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the remaining contractual terms of the U.S. Treasury securities were less than 12 months.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the Company has not recognized any allowances for credit losses or impairments in relation to its marketable securities as these securities are comprised of high credit quality, investment grade securities that the Company does not intend or expect to be required to sell prior to their anticipated recovery, and the decline in fair value of these securities is attributable to factors other than credit losses.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investment income consists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700" w:type="dxa"/>
            <w:vAlign w:val="bottom"/>
            <w:gridSpan w:val="2"/>
            <w:shd w:val="clear" w:color="auto" w:fill="CFF0FC"/>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6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 net</w:t>
            </w:r>
          </w:p>
        </w:tc>
        <w:tc>
          <w:tcPr>
            <w:tcW w:w="20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18"/>
                <w:szCs w:val="18"/>
                <w:color w:val="auto"/>
              </w:rPr>
            </w:pPr>
          </w:p>
        </w:tc>
      </w:tr>
      <w:tr>
        <w:trPr>
          <w:trHeight w:val="24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interest and investment income</w:t>
            </w:r>
          </w:p>
        </w:tc>
        <w:tc>
          <w:tcPr>
            <w:tcW w:w="3700" w:type="dxa"/>
            <w:vAlign w:val="bottom"/>
            <w:gridSpan w:val="2"/>
            <w:shd w:val="clear" w:color="auto" w:fill="CFF0FC"/>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86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120" w:type="dxa"/>
            <w:vAlign w:val="bottom"/>
            <w:shd w:val="clear" w:color="auto" w:fill="CFF0FC"/>
          </w:tcPr>
          <w:p>
            <w:pPr>
              <w:spacing w:after="0"/>
              <w:rPr>
                <w:sz w:val="21"/>
                <w:szCs w:val="21"/>
                <w:color w:val="auto"/>
              </w:rPr>
            </w:pPr>
          </w:p>
        </w:tc>
      </w:tr>
      <w:tr>
        <w:trPr>
          <w:trHeight w:val="629"/>
        </w:trPr>
        <w:tc>
          <w:tcPr>
            <w:tcW w:w="4220" w:type="dxa"/>
            <w:vAlign w:val="bottom"/>
            <w:tcBorders>
              <w:top w:val="single" w:sz="8" w:color="CFF0FC"/>
            </w:tcBorders>
          </w:tcPr>
          <w:p>
            <w:pPr>
              <w:spacing w:after="0"/>
              <w:rPr>
                <w:sz w:val="24"/>
                <w:szCs w:val="24"/>
                <w:color w:val="auto"/>
              </w:rPr>
            </w:pPr>
          </w:p>
        </w:tc>
        <w:tc>
          <w:tcPr>
            <w:tcW w:w="2000" w:type="dxa"/>
            <w:vAlign w:val="bottom"/>
            <w:tcBorders>
              <w:top w:val="single" w:sz="8" w:color="CFF0FC"/>
            </w:tcBorders>
          </w:tcPr>
          <w:p>
            <w:pPr>
              <w:jc w:val="right"/>
              <w:ind w:right="470"/>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-934085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-916940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Segment disclosure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 making group, in deciding how to allocate resources in assessing performance. The Company has one reportable segment related to the development of clinical and preclinical product candidates focused on addressing unmet medical needs in patients with solid tumors with a specific focus on HNSCC tumors. The Company’s chief operating decision maker (CODM) is the Chief Executive Officer.</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accounting policies of the single segment are the same as those described in the Company’s significant accounting policies disclosed in </w:t>
      </w:r>
      <w:r>
        <w:rPr>
          <w:rFonts w:ascii="Times New Roman" w:cs="Times New Roman" w:eastAsia="Times New Roman" w:hAnsi="Times New Roman"/>
          <w:sz w:val="18"/>
          <w:szCs w:val="18"/>
          <w:i w:val="1"/>
          <w:iCs w:val="1"/>
          <w:color w:val="auto"/>
        </w:rPr>
        <w:t>“Note 2</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 Basis of Presentation and Summary of Significant Accounting Policies” </w:t>
      </w:r>
      <w:r>
        <w:rPr>
          <w:rFonts w:ascii="Times New Roman" w:cs="Times New Roman" w:eastAsia="Times New Roman" w:hAnsi="Times New Roman"/>
          <w:sz w:val="18"/>
          <w:szCs w:val="18"/>
          <w:color w:val="auto"/>
        </w:rPr>
        <w:t>of the Company’s Fiscal 2025 10-K. The CODM assesses performance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based on net loss, which is reported on the unaudited condensed consolidated statements of operations and comprehensive loss as net loss. The measure of segment assets is reported on the unaudited condensed consolidated balance sheets as total assets.</w:t>
      </w:r>
    </w:p>
    <w:p>
      <w:pPr>
        <w:spacing w:after="0" w:line="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the product candidate through all stages of development and clinical trials and, ultimately, seek regulatory approval.</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allocate resources. Such cash forecast models are reviewed to assess the entity-wide operating results and performance. Net loss is used to monitor budget versus actual results. Monitoring budgeted versus actual results is used in assessing performance of the segment and in establishing management’s compensation, along with cash forecast models.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segment net loss, including significant expenses for the three months ended March 31, 2026 and 2025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 :</w:t>
            </w:r>
          </w:p>
        </w:tc>
        <w:tc>
          <w:tcPr>
            <w:tcW w:w="8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Clinical product candidates</w:t>
            </w:r>
          </w:p>
        </w:tc>
        <w:tc>
          <w:tcPr>
            <w:tcW w:w="2280" w:type="dxa"/>
            <w:vAlign w:val="bottom"/>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2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Clinical product manufacturing</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Personnel-related expenses excluding stock-based compensation</w:t>
            </w:r>
          </w:p>
        </w:tc>
        <w:tc>
          <w:tcPr>
            <w:tcW w:w="8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w:t>
            </w:r>
          </w:p>
        </w:tc>
        <w:tc>
          <w:tcPr>
            <w:tcW w:w="8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18"/>
                <w:szCs w:val="18"/>
                <w:color w:val="auto"/>
              </w:rPr>
            </w:pPr>
          </w:p>
        </w:tc>
      </w:tr>
      <w:tr>
        <w:trPr>
          <w:trHeight w:val="210"/>
        </w:trPr>
        <w:tc>
          <w:tcPr>
            <w:tcW w:w="57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19,983</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Personnel-related expenses excluding stock-based compensation</w:t>
            </w:r>
          </w:p>
        </w:tc>
        <w:tc>
          <w:tcPr>
            <w:tcW w:w="8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8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(ii)</w:t>
            </w:r>
          </w:p>
        </w:tc>
        <w:tc>
          <w:tcPr>
            <w:tcW w:w="8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8"/>
                <w:szCs w:val="18"/>
                <w:color w:val="auto"/>
              </w:rPr>
            </w:pPr>
          </w:p>
        </w:tc>
      </w:tr>
      <w:tr>
        <w:trPr>
          <w:trHeight w:val="210"/>
        </w:trPr>
        <w:tc>
          <w:tcPr>
            <w:tcW w:w="57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2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00" w:type="dxa"/>
            <w:vAlign w:val="bottom"/>
          </w:tcPr>
          <w:p>
            <w:pPr>
              <w:spacing w:after="0"/>
              <w:rPr>
                <w:sz w:val="18"/>
                <w:szCs w:val="18"/>
                <w:color w:val="auto"/>
              </w:rPr>
            </w:pPr>
          </w:p>
        </w:tc>
      </w:tr>
      <w:tr>
        <w:trPr>
          <w:trHeight w:val="210"/>
        </w:trPr>
        <w:tc>
          <w:tcPr>
            <w:tcW w:w="5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segment income (iii)</w:t>
            </w:r>
          </w:p>
        </w:tc>
        <w:tc>
          <w:tcPr>
            <w:tcW w:w="8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net loss</w:t>
            </w:r>
          </w:p>
        </w:tc>
        <w:tc>
          <w:tcPr>
            <w:tcW w:w="22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(23,272)</w:t>
            </w:r>
          </w:p>
        </w:tc>
        <w:tc>
          <w:tcPr>
            <w:tcW w:w="1420" w:type="dxa"/>
            <w:vAlign w:val="bottom"/>
          </w:tcPr>
          <w:p>
            <w:pPr>
              <w:jc w:val="right"/>
              <w:ind w:right="12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(21,158)</w:t>
            </w:r>
          </w:p>
        </w:tc>
      </w:tr>
      <w:tr>
        <w:trPr>
          <w:trHeight w:val="20"/>
        </w:trPr>
        <w:tc>
          <w:tcPr>
            <w:tcW w:w="5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profit or loss</w:t>
            </w:r>
          </w:p>
        </w:tc>
        <w:tc>
          <w:tcPr>
            <w:tcW w:w="8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8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2280" w:type="dxa"/>
            <w:vAlign w:val="bottom"/>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(23,272)</w:t>
            </w:r>
          </w:p>
        </w:tc>
        <w:tc>
          <w:tcPr>
            <w:tcW w:w="1420" w:type="dxa"/>
            <w:vAlign w:val="bottom"/>
            <w:shd w:val="clear" w:color="auto" w:fill="CFF0FC"/>
          </w:tcPr>
          <w:p>
            <w:pPr>
              <w:jc w:val="right"/>
              <w:ind w:right="12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(21,158)</w:t>
            </w: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-1748155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-908050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-616585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segment items include facilities expenses, lab services, professional services and technology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segment items include facilities expenses, technology costs, insurance and depreciation.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income for the three months ended March 31, 2026 and 2025 consisted of $0.5 million and $1.2 million of interest and investment income and $0.6 million and $0.5 million of sublease income,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Licensing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University of Chicago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2020, the Company entered into a license agreement (the “University License Agreement”), as well as a sponsored research agreement, with the University of Chicago (the “University”). Under the terms of the license, the Company has the global right to develop and commercialize products that are covered by a valid claim of a licensed patent, incorporate or use the licensed know-how and materials or are known to assess, modulate or utilize the activity of certain specified biological targets. In partial consideration for the license from the University, the Company issued to the University 48,919 shares of its common stock in 2020.</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University License Agreement, the Company is obligated to pay potential development and commercial milestones as well as running royalties on net sales of licensed products at varying rates. The Company assessed the milestone and royalty events under the University License Agreement during the three months ended March 31, 2026 and 2025, and determined that no such milestone or royalty events occurred.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Inc.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license agreement (as amended, the “Pfizer License Agreement”) with Pfizer Inc. (“Pfizer”) for worldwide development and commercialization rights to ADC product candidates directed to certain licensed targets, including micvotabart pelidotin and PYX-203, and products containing the ADC product candidates. The Company’s rights are exclusive with respect to certain patents owned or controlled by Pfizer covering the licensed ADCs. The initial licensed targets include CD123 and Extradomain-B Fibronectin (“EDB+FN”) and the Company has the option to expand the scope of its license to add additional licensed targets that have not been licensed to a third party or are not the subject of a Pfizer ADC development program. The Pfizer License Agreement became effective in March 2021 and the Company paid a combined $25.0 million for the license fee, consisting of an upfront cash payment of $5.0 million and issued 12,152,145 shares of Series B convertible preferred stock, which was converted into 1,911,015 shares of its common stock upon the initial public offering (“IPO”) in October 2021, with a value of $20.0 million to Pfizer.</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October 6, 2022, the Company entered into an amended and restated license agreement (the “A&amp;R License Agreement”) with Pfizer, which amends and restates the Pfizer License Agreement. Pursuant to the A&amp;R License Agreement, Pfizer granted to the Company exclusive worldwide rights under Pfizer’s Flexible Antibody Conjugation Technology (“FACT”) Platform technology to develop and commercialize ADC product candidates directed to certain licensed targets, including micvotabart pelidotin and PYX-203, and products containing the ADC product candidates. Additional ADC targets may be licensed for a nominal upfront payment and milestones. In accordance with the terms of the A&amp;R License Agreement, the Company issued 2,229,654 shares of its common stock to Pfizer in October 2022, paid $8.0 million to Pfizer in January 2023 and issued 1,811,594 shares of its common stock to Pfizer in March 2023.</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pursuant to the A&amp;R License Agreement, the Company is obligated to pay future contingent payments including development, regulatory and commercial milestones as well as running royalties on net sales of licensed products at varying rates. The Company assessed the milestone and royalty events under the A&amp;R License Agreement during the three months ended March 31, 2026 and 2025, and determined that no milestone or royalty events occurred.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Biosion USA, Inc.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28, 2022, the Company entered into a license agreement (the “Biosion License Agreement”) with Biosion USA, Inc. (“Biosion”), pursuant to which the Company obtained an exclusive, worldwide (other than Greater China (mainland China, Hong Kong, Macau and Taiwan)) license for development, manufacturing and commercialization rights for BSI-060T, a Siglec-15 targeting antibody, an IO product candidate (now referred to as PYX-106), and products containing the licensed compound.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Biosion License Agreement, the Company paid an upfront license fee of $10.0 million in March 2022. Further, the Company is also obligated to pay future contingent payments including development, regulatory and commercial milestones as well as running royalties on net sales of licensed products and sublicensing revenues at varying rates. In December 2024, the Company paused the clinical development of PYX-106. The Company assessed the milestone and royalty events involving the Biosion License Agreement during the three months ended March 31, 2026 and 2025, and determined that no such milestone or royalty events occurred.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Out-Licensing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August 2023, the Company completed the acquisition of Apexigen, Inc. ("Apexigen") and assumed all out-licensing agreements of Apexigen upon the Merger.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Simcere License and Collaboration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2008, Epitomics, Inc. (“Epitomics”) (Apexigen’s predecessor) and Jiangsu Simcere Pharmaceutical R&amp;D Co., Ltd. (“Simcere”) entered into a license and collaboration agreement (the “Simcere Agreement”) for the development and commercialization of suvemcitug (BD0801) for oncology in China.</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July 2025, Simcere paid $3 million of regulatory approval milestone to the Company. Further, in December 2025, the Company sold its rights to royalties from the commercialization of Enzeshu® (suvemcitug for injection) to Simcere for a one-time cash payment of $11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ind w:right="440"/>
        <w:spacing w:after="0" w:line="375" w:lineRule="auto"/>
        <w:rPr>
          <w:sz w:val="20"/>
          <w:szCs w:val="20"/>
          <w:color w:val="auto"/>
        </w:rPr>
      </w:pPr>
      <w:r>
        <w:rPr>
          <w:rFonts w:ascii="Times New Roman" w:cs="Times New Roman" w:eastAsia="Times New Roman" w:hAnsi="Times New Roman"/>
          <w:sz w:val="18"/>
          <w:szCs w:val="18"/>
          <w:color w:val="auto"/>
        </w:rPr>
        <w:t xml:space="preserve">and four semi-annual installments of $175,000 each. As of March 31, 2026, there are no obligations or receivables due under the Simcere Agreement. </w:t>
      </w:r>
      <w:r>
        <w:rPr>
          <w:rFonts w:ascii="Times New Roman" w:cs="Times New Roman" w:eastAsia="Times New Roman" w:hAnsi="Times New Roman"/>
          <w:sz w:val="18"/>
          <w:szCs w:val="18"/>
          <w:i w:val="1"/>
          <w:iCs w:val="1"/>
          <w:color w:val="auto"/>
        </w:rPr>
        <w:t>T-Mab/Mabwell Agreement</w:t>
      </w:r>
    </w:p>
    <w:p>
      <w:pPr>
        <w:spacing w:after="0" w:line="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2008, Epitomics and Jiangsu T-Mab Biotechnology Ltd., Co. (“T-Mab”) entered into a license, co-development and contract manufacture agreement (the “T-Mab Agreement”) for the development and commercialization of therapeutic candidates, each directed to a specified target for specified fields, including VEGF for the treatment of ocular diseases, in China. Mabwell (Shanghai) Bioscience Co., Ltd. (“Mabwell”) acquired T-Mab in 2015.</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T-Mab agreement, Mabwell was granted an exclusive, royalty-bearing, perpetual license (without the right to sublicense) to rights in certain intellectual property to develop and commercialize such therapeutic candidates. Mabwell is obligated to pay the Company a mid-single-digit percentage royalty on net sales of such therapeutic candidates in China. During the three months ended March 31, 2026 and 2025, the Company assessed the milestone and royalty events involving Mabwell and determined that no such events had occurred.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Toray Sublicense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May 2012, Epitomics and Toray Industries, Inc. (“Toray”), entered into a non-exclusive sublicense agreement (the “Toray Agreement”) under which Epitomics granted Toray a non-exclusive, worldwide sublicense, with the right to grant further sublicenses, to develop and commercialize drug product candidates that Toray developed using antibodies created using Apexigen’s antibody-discovery platform (the “APXiMAB Platform”) that target certain molecules to use in the development of its drug product candidates. Under the Toray Agreement, Toray paid an upfront fee, and agreed to pay certain development- and regulatory-related milestone payments and a low single-digit percentage royalty on net sales of licensed products by Toray or its affiliates, and a mid-teens percentage of certain payments received by Toray from sublicensees. During the three months ended March 31, 2026 and 2025, the Company assessed the milestone and royalty events involving Toray and determined that no such events had occurred.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and ATM Offering Program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26, 2025, the Company filed a registration statement on Form S-3 with the Securities and Exchange Commission (the “SEC”) for the issuance of common stock, preferred stock, warrants, debt securities, rights and units with an aggregate offering price of up to $350.0 million. On December 9, 2025, the registration statement was declared effective by the SEC. The registration statement includes an at-the-market offering program (the “ATM”) for the sale of up to $150.0 million of shares of the Company’s common stock.</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sell any shares of common stock under the ATM offering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$150.0 million of remaining capacity available under the ATM facility.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issued and outstanding shares of preferred stock as of March 31, 2026 and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was authorized to issue up to 190,000,000 shares of common stock, par value $0.001 per share. As of March 31, 2026 and December 31, 2025, 62,831,246 and 62,690,229 shares, respectively, were issued and outstanding.</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—Each holder of outstanding shares of common stock shall be entitled to one vote in respect of each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r>
        <w:rPr>
          <w:rFonts w:ascii="Times New Roman" w:cs="Times New Roman" w:eastAsia="Times New Roman" w:hAnsi="Times New Roman"/>
          <w:sz w:val="18"/>
          <w:szCs w:val="18"/>
          <w:color w:val="auto"/>
        </w:rPr>
        <w:t>—The Company reserved the following shares of common stock for issuance: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2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15,422,291</w:t>
            </w:r>
          </w:p>
        </w:tc>
        <w:tc>
          <w:tcPr>
            <w:tcW w:w="3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12,468,296</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1,505,546</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1,634,519</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5,635,138</w:t>
            </w:r>
          </w:p>
        </w:tc>
        <w:tc>
          <w:tcPr>
            <w:tcW w:w="3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4,925,963</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Apexigen replacement warrants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1,003,191</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1,003,191</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715,570</w:t>
            </w:r>
          </w:p>
        </w:tc>
        <w:tc>
          <w:tcPr>
            <w:tcW w:w="220" w:type="dxa"/>
            <w:vAlign w:val="bottom"/>
            <w:tcBorders>
              <w:bottom w:val="single" w:sz="8" w:color="CFF0FC"/>
            </w:tcBorders>
            <w:shd w:val="clear" w:color="auto" w:fill="CFF0FC"/>
          </w:tcPr>
          <w:p>
            <w:pPr>
              <w:spacing w:after="0"/>
              <w:rPr>
                <w:sz w:val="18"/>
                <w:szCs w:val="18"/>
                <w:color w:val="auto"/>
              </w:rPr>
            </w:pP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24,281,736</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20,637,459</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Apexigen Replacement Warrants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the acquisition of Apexigen, each outstanding warrant issued by Apexigen was assumed and converted into a warrant to acquire the Company’s common stock, on substantially similar terms and conditions as were applicable under the applicable Apexigen warrant agreements. The Company replaced 5,815,613 Apexigen warrants with 1,003,191 Pyxis Oncology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there were 344,259 warrants outstanding with an exercise price of $8.12 per share, 17,212 warrants outstanding with an exercise price of $10.14 per share, and 641,720 warrants outstanding with an exercise price of $66.67 per share. The warrants with an exercise price of $66.67 per share expire on July 29, 2027, or earlier upon redemption or liquidation. The warrants with exercise prices of $8.12 per share and $10.14 per share expire on July 30, 2028, or earlier upon redemption or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January 2025, the holder of the Company’s pre-funded warrants exercised such warrants in full, and the Company issued 1,611,215 shares of common stock upon such exercise. As of March 31, 2026, no pre-funded warrants were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grants stock-based incentive awards pursuant to the 2021 Equity Incentive Plan (the “2021 Plan”), the 2019 Equity Incentive Plan (the “2019 Plan”), the 2022 Equity Incentive Plan (the “2022 Plan”) and the 2022 Equity Inducement Plan (the “2022 Inducement Plan”). As of March 31, 2026, there were 4,248,559 shares, 264,533 shares, 968,174 shares and 153,872 shares, respectively, available for future issuance under the 2021 Plan, 2019 Plan, 2022 Plan and 2022 Inducement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2026 (in thousands, except share and per share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41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100" w:type="dxa"/>
            <w:vAlign w:val="bottom"/>
          </w:tcPr>
          <w:p>
            <w:pPr>
              <w:spacing w:after="0"/>
              <w:rPr>
                <w:sz w:val="20"/>
                <w:szCs w:val="20"/>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12,468,296</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3,035,182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(81,187)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15,422,291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1,915</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March 31, 2026</w:t>
            </w:r>
          </w:p>
        </w:tc>
        <w:tc>
          <w:tcPr>
            <w:tcW w:w="1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8,809,295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4.79</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6.7</w:t>
            </w:r>
          </w:p>
        </w:tc>
        <w:tc>
          <w:tcPr>
            <w:tcW w:w="3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828</w:t>
            </w:r>
          </w:p>
        </w:tc>
        <w:tc>
          <w:tcPr>
            <w:tcW w:w="100" w:type="dxa"/>
            <w:vAlign w:val="bottom"/>
            <w:shd w:val="clear" w:color="auto" w:fill="CFF0FC"/>
          </w:tcPr>
          <w:p>
            <w:pPr>
              <w:spacing w:after="0"/>
              <w:rPr>
                <w:sz w:val="18"/>
                <w:szCs w:val="18"/>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-334010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-334010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-334010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all outstanding and exercisable stock options and the fair value of the Company’s common stock of $1.46 per share as of March 31, 2026. No stock options were exercised during the three months ended March 31, 2026 and 2025.</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an aggregate $8.6 million of gross unrecognized stock-based compensation expense as of March 31, 2026, remaining to be amortized over a weighted average period of 2.8 years.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2026 and 2025, was $1.11 and $0.78 per share, respectively, and was calculated using the following key input assumptions in the Black-Scholes option-pricing model: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00" w:type="dxa"/>
            <w:vAlign w:val="bottom"/>
            <w:tcBorders>
              <w:bottom w:val="single" w:sz="8" w:color="auto"/>
            </w:tcBorders>
          </w:tcPr>
          <w:p>
            <w:pPr>
              <w:spacing w:after="0"/>
              <w:rPr>
                <w:sz w:val="20"/>
                <w:szCs w:val="20"/>
                <w:color w:val="auto"/>
              </w:rPr>
            </w:pPr>
          </w:p>
        </w:tc>
      </w:tr>
      <w:tr>
        <w:trPr>
          <w:trHeight w:val="210"/>
        </w:trPr>
        <w:tc>
          <w:tcPr>
            <w:tcW w:w="60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98.78% - 103.00%</w:t>
            </w: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- 99.91%</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3.86% - 4.12%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- 4.45%</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600" w:type="dxa"/>
            <w:vAlign w:val="bottom"/>
            <w:gridSpan w:val="3"/>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5.27 - 6.08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- 6.08</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units activity for the three months ended March 31,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5640" w:type="dxa"/>
            <w:vAlign w:val="bottom"/>
          </w:tcPr>
          <w:p>
            <w:pPr>
              <w:spacing w:after="0"/>
              <w:rPr>
                <w:sz w:val="20"/>
                <w:szCs w:val="20"/>
                <w:color w:val="auto"/>
              </w:rPr>
            </w:pPr>
          </w:p>
        </w:tc>
        <w:tc>
          <w:tcPr>
            <w:tcW w:w="2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260" w:type="dxa"/>
            <w:vAlign w:val="bottom"/>
          </w:tcPr>
          <w:p>
            <w:pPr>
              <w:spacing w:after="0"/>
              <w:rPr>
                <w:sz w:val="20"/>
                <w:szCs w:val="20"/>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2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1,634,519</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(113,360)</w:t>
            </w:r>
          </w:p>
        </w:tc>
        <w:tc>
          <w:tcPr>
            <w:tcW w:w="26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 and settled</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(159,321)</w:t>
            </w:r>
          </w:p>
        </w:tc>
        <w:tc>
          <w:tcPr>
            <w:tcW w:w="2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r>
      <w:tr>
        <w:trPr>
          <w:trHeight w:val="250"/>
        </w:trPr>
        <w:tc>
          <w:tcPr>
            <w:tcW w:w="564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Outstanding at March 31, 2026</w:t>
            </w:r>
            <w:r>
              <w:rPr>
                <w:rFonts w:ascii="Times New Roman" w:cs="Times New Roman" w:eastAsia="Times New Roman" w:hAnsi="Times New Roman"/>
                <w:sz w:val="24"/>
                <w:szCs w:val="24"/>
                <w:b w:val="1"/>
                <w:bCs w:val="1"/>
                <w:color w:val="auto"/>
                <w:vertAlign w:val="superscript"/>
              </w:rPr>
              <w:t>(1)</w:t>
            </w:r>
          </w:p>
        </w:tc>
        <w:tc>
          <w:tcPr>
            <w:tcW w:w="2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1,505,546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jc w:val="right"/>
        <w:ind w:left="5540" w:right="5520" w:hanging="5532"/>
        <w:spacing w:after="0" w:line="452" w:lineRule="auto"/>
        <w:tabs>
          <w:tab w:leader="none" w:pos="199"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823,743 RSUs which are vested but not settled at March 31, 2026.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141,017 shares of its common stock from the settlement of 159,321 restricted common units, with the remaining shares withheld for taxes. The Company has an aggregate $1.65 million of gross unrecognized restricted stock-based compensation expense as of March 31, 2026, remaining to be amortized over a weighted average period of 1.7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Expense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three months ended March 31, 2026 and 2025, respectively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4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4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8"/>
                <w:szCs w:val="18"/>
                <w:color w:val="auto"/>
              </w:rPr>
            </w:pPr>
          </w:p>
        </w:tc>
      </w:tr>
      <w:tr>
        <w:trPr>
          <w:trHeight w:val="229"/>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4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64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3,631</w:t>
            </w:r>
          </w:p>
        </w:tc>
        <w:tc>
          <w:tcPr>
            <w:tcW w:w="100" w:type="dxa"/>
            <w:vAlign w:val="bottom"/>
            <w:shd w:val="clear" w:color="auto" w:fill="CFF0FC"/>
          </w:tcPr>
          <w:p>
            <w:pPr>
              <w:spacing w:after="0"/>
              <w:rPr>
                <w:sz w:val="19"/>
                <w:szCs w:val="19"/>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 (“2021 ESPP”)</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the 2021 ESPP in force. The Company did not issue any shares during the three months ended March 31, 2026. The Company issued 29,619 shares under the 2021 ESPP during the three months ended March 31, 2025. As of March 31, 2026, 715,570 shares are available for issuance under the 2021 ESPP.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Operating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leases its office and facilities in Boston, Massachusetts under a non-cancellable operating lease agreement that continues through December 31, 2032. Cash paid for operating lease liabilities were $0.8 million and $0.8 million during the three months ended March 31, 2026 and 2025, respectively, which is included in operating cash flows within the accompanying unaudited condensed consolidated statements of cash flows.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18"/>
                <w:szCs w:val="18"/>
                <w:color w:val="auto"/>
              </w:rPr>
            </w:pPr>
          </w:p>
        </w:tc>
        <w:tc>
          <w:tcPr>
            <w:tcW w:w="1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 w:type="dxa"/>
            <w:vAlign w:val="bottom"/>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78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980" w:type="dxa"/>
            <w:vAlign w:val="bottom"/>
            <w:gridSpan w:val="2"/>
          </w:tcPr>
          <w:p>
            <w:pPr>
              <w:jc w:val="right"/>
              <w:ind w:right="1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lease cost</w:t>
            </w:r>
          </w:p>
        </w:tc>
        <w:tc>
          <w:tcPr>
            <w:tcW w:w="178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1980" w:type="dxa"/>
            <w:vAlign w:val="bottom"/>
            <w:gridSpan w:val="2"/>
          </w:tcPr>
          <w:p>
            <w:pPr>
              <w:jc w:val="right"/>
              <w:ind w:right="16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w:t>
            </w:r>
          </w:p>
        </w:tc>
        <w:tc>
          <w:tcPr>
            <w:tcW w:w="1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-170815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subleases approximately 17,729 square feet of office and laboratory space in the building located at 321 Harrison Avenue, Boston, Massachusetts. The Company remains jointly and severally liable under the head lease and accounts for the sublease as an operating lease. The lease term commenced on March 24, 2023 and is expected to end in May 2026. The Company recognized sublease income of $0.6 million and $0.5 million for the three months ended March 31, 2026 and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from continuing operations was 0% for the three months ended March 31, 2026 and 2025. The Company has not recorded a federal and state income tax provision for the three months ended March 31, 2026 and 2025.</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the realizability of the deferred tax assets at each reporting date. The Company continues to maintain a full valuation allowance for its U.S. federal and state deferred tax assets, which significantly consists of net operating losses and tax credits. If certain substantial changes in the entity’s ownership occur, there may be an annual limitation on the amount of the carryforwards that can be utilized. The Company will continue to assess the need for a valuation allowance on its deferred tax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12. Net Loss per Common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calculation of diluted net loss per common share due to their anti-dilutive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2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2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15,422,291</w:t>
            </w:r>
          </w:p>
        </w:tc>
        <w:tc>
          <w:tcPr>
            <w:tcW w:w="220" w:type="dxa"/>
            <w:vAlign w:val="bottom"/>
            <w:shd w:val="clear" w:color="auto" w:fill="CFF0FC"/>
          </w:tcPr>
          <w:p>
            <w:pPr>
              <w:spacing w:after="0"/>
              <w:rPr>
                <w:sz w:val="18"/>
                <w:szCs w:val="18"/>
                <w:color w:val="auto"/>
              </w:rPr>
            </w:pPr>
          </w:p>
        </w:tc>
        <w:tc>
          <w:tcPr>
            <w:tcW w:w="2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12,228,168</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and unsettled 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681,803</w:t>
            </w:r>
          </w:p>
        </w:tc>
        <w:tc>
          <w:tcPr>
            <w:tcW w:w="220" w:type="dxa"/>
            <w:vAlign w:val="bottom"/>
          </w:tcPr>
          <w:p>
            <w:pPr>
              <w:spacing w:after="0"/>
              <w:rPr>
                <w:sz w:val="18"/>
                <w:szCs w:val="18"/>
                <w:color w:val="auto"/>
              </w:rPr>
            </w:pPr>
          </w:p>
        </w:tc>
        <w:tc>
          <w:tcPr>
            <w:tcW w:w="2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2,421,954</w:t>
            </w:r>
          </w:p>
        </w:tc>
      </w:tr>
      <w:tr>
        <w:trPr>
          <w:trHeight w:val="216"/>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5,635,138</w:t>
            </w:r>
          </w:p>
        </w:tc>
        <w:tc>
          <w:tcPr>
            <w:tcW w:w="220" w:type="dxa"/>
            <w:vAlign w:val="bottom"/>
            <w:shd w:val="clear" w:color="auto" w:fill="CFF0FC"/>
          </w:tcPr>
          <w:p>
            <w:pPr>
              <w:spacing w:after="0"/>
              <w:rPr>
                <w:sz w:val="18"/>
                <w:szCs w:val="18"/>
                <w:color w:val="auto"/>
              </w:rPr>
            </w:pPr>
          </w:p>
        </w:tc>
        <w:tc>
          <w:tcPr>
            <w:tcW w:w="2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5,382,829</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Apexigen replacement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1,003,191</w:t>
            </w:r>
          </w:p>
        </w:tc>
        <w:tc>
          <w:tcPr>
            <w:tcW w:w="220" w:type="dxa"/>
            <w:vAlign w:val="bottom"/>
          </w:tcPr>
          <w:p>
            <w:pPr>
              <w:spacing w:after="0"/>
              <w:rPr>
                <w:sz w:val="18"/>
                <w:szCs w:val="18"/>
                <w:color w:val="auto"/>
              </w:rPr>
            </w:pPr>
          </w:p>
        </w:tc>
        <w:tc>
          <w:tcPr>
            <w:tcW w:w="2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1,003,191</w:t>
            </w: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715,570</w:t>
            </w:r>
          </w:p>
        </w:tc>
        <w:tc>
          <w:tcPr>
            <w:tcW w:w="220" w:type="dxa"/>
            <w:vAlign w:val="bottom"/>
            <w:tcBorders>
              <w:bottom w:val="single" w:sz="8" w:color="CFF0FC"/>
            </w:tcBorders>
            <w:shd w:val="clear" w:color="auto" w:fill="CFF0FC"/>
          </w:tcPr>
          <w:p>
            <w:pPr>
              <w:spacing w:after="0"/>
              <w:rPr>
                <w:sz w:val="18"/>
                <w:szCs w:val="18"/>
                <w:color w:val="auto"/>
              </w:rPr>
            </w:pP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653,777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23,457,993</w:t>
            </w:r>
          </w:p>
        </w:tc>
        <w:tc>
          <w:tcPr>
            <w:tcW w:w="220" w:type="dxa"/>
            <w:vAlign w:val="bottom"/>
          </w:tcPr>
          <w:p>
            <w:pPr>
              <w:spacing w:after="0"/>
              <w:rPr>
                <w:sz w:val="18"/>
                <w:szCs w:val="18"/>
                <w:color w:val="auto"/>
              </w:rPr>
            </w:pPr>
          </w:p>
        </w:tc>
        <w:tc>
          <w:tcPr>
            <w:tcW w:w="2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21,689,919</w:t>
            </w:r>
          </w:p>
        </w:tc>
      </w:tr>
      <w:tr>
        <w:trPr>
          <w:trHeight w:val="20"/>
        </w:trPr>
        <w:tc>
          <w:tcPr>
            <w:tcW w:w="53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that arise in the ordinary course of business. The Company is not currently a party to any material legal proceedings and is not aware of any pending or threatened legal proceeding against it that the Company believes could have an adverse effect on its business, operating results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various third parties for clinical trials, preclinical research studies and testing, manufacturing and other services and products for operating purposes, which are generally cancellable by the Company at any time, subject to payment of remaining obligations under binding purchase orders and, in certain cases, nominal early-termination fees. These commitments are not deemed significant.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(1) unaudited condensed consolidated financial statements and related notes thereto included elsewhere in this Quarterly Report on Form 10-Q, and (2) consolidated financial statements and related notes and management’s discussion and analysis of financial condition and results of operations for the fiscal year ended December 31, 2025, included in our Fiscal 2025 10-K. Unless the context requires otherwise, references in this Quarterly Report on Form 10-Q to “Pyxis Oncology,” the “Company,” “we,” “us,” and “our” refer to Pyxis Oncology, Inc. and its subsidiaries.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Factors that could cause or contribute to such differences include, but are not limited to, those identified herein, and those discussed in the section titled “Risk Factors” set forth in Part II, Item 1A. of this Quarterly Report on Form 10-Q and in our other filings with the SEC.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Pyxis Oncology is a clinical-stage oncology company advancing a development strategy focused on addressing unmet medical needs in patients with solid tumors with an immediate focus on head and neck squamous cell carcinoma (HNSCC).</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lead product candidate, micvotabart pelidotin (MICVO, formerly PYX-201), is an investigational novel antibody-drug conjugate (ADC) that uniquely targets the splice variant of fibronectin, extradomain-B of fibronectin (EDB+FN), a non-cellular structural component of the extracellular matrix (ECM) in the tumor microenvironment (TME). EDB+FN is an isoform of fibronectin present in tumors that is negligibly expressed in normal adult tissues and facilitates cancer progression by playing multiple roles including promoting cell proliferation, adhesion, and migration, activating the integrin signaling pathway, stimulating angiogenesis and vascular remodeling, driving epithelial-mesenchymal transition (EMT), and establishing the pre-metastatic niche. We believe EDB+FN is a compelling target for cancer therapeutics as the physiological expression of EDB+FN is very low in healthy adult tissues, yet it is found to be highly expressed in a variety of solid tumors.</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ADC, MICVO, consists of a fully human IgG1 monoclonal antibody that is site-specifically conjugated to a cleavable linker with an optimized auristatin (Aur0101) microtubule inhibitor payload. Unlike conventional ADCs which bind to an antigen on the surface of a cancer cell, MICVO is designed to bind to EDB+FN in the tumor ECM, where extracellular proteases under acidic conditions cleave the linker to release the Aur0101 payload. The payload diffuses through the membrane of cancer cells to kill them directly, which is the first component of MICVO’s three-pronged mechanism of action (MOA). The dying cancer cells release the payload which diffuses into nearby cancer cells and kills them via the bystander effect, representing the second component of MICVO’s MOA. The dying cancer cells also release neoantigens which trigger immunogenic cell death (ICD), the final component of its MOA. Together with its purpose-built design and postulated three-pronged MOA, MICVO has the potential for improved stability and anti-tumor activity compared to conventional ADCs.</w:t>
      </w:r>
    </w:p>
    <w:p>
      <w:pPr>
        <w:spacing w:after="0" w:line="8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MICVO is currently being studied as monotherapy in recurrent and metastatic head and neck squamous cell carcinoma (R/M HNSCC) and in combination with KEYTRUDA® (pembrolizumab) in 1L/2L+ R/M HNSCC and other solid tumors.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MICVO Monotherapy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PYX-201-101 Phase 1 (Part 1) Monotherapy Dose Escalation Study</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 of our Phase 1 monotherapy study, referred to as PYX-201-101, we conducted a dose escalation study to evaluate MICVO monotherapy in patients with advanced solid tumors known to express EDB+FN. In November 2024, we reported positive preliminary results from the dose escalation study, which included a total of 80 patients dosed across nine solid tumor types at doses ranging from 0.3 mg/kg to 8 mg/kg, with a data cut-off of October 4, 2024. Of the nine solid tumor types included in the study, the strongest tumor regression response was observed in R/M HNSCC. Among the six efficacy evaluable heavily pre-treated patients with R/M HNSCC, the confirmed objective response rate (ORR) was 50% per RECIST v1.1 at the therapeutically active dose response range of 3.6 mg/kg – 5.4 mg/kg administered intravenously every three weeks (IV Q3W), including one confirmed complete response (CR) and two confirmed partial responses (PRs), with a disease control rate (DCR) of 100%. Based on observations from the dose-escalation study, 5.4 mg/kg IV Q3W presented an optimal benefit-risk profile within the efficacious dose range and was selected for dose expansion. Subsequent translational data indicated reduction in ctDNA TF after treatment with MICVO, particularly at the 5.4 mg/kg dose, supported a positive molecular response to MICVO, providing further validation of the dose selection strategy for dose expansion.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PYX-201-101 Phase 1 (Part 2) Monotherapy Dose Expansion in R/M HNSCC</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initiated the dose expansion portion (Part 2) of the Phase 1 PYX-201-101 monotherapy study to further evaluate MICVO as a monotherapy at a dose of 5.4 mg/kg IV Q3W and to assess preliminary efficacy in R/M HNSCC. The Part 2 dose-expansion phase includes the following two cohorts:</w:t>
      </w:r>
    </w:p>
    <w:p>
      <w:pPr>
        <w:spacing w:after="0" w:line="68" w:lineRule="exact"/>
        <w:rPr>
          <w:sz w:val="20"/>
          <w:szCs w:val="20"/>
          <w:color w:val="auto"/>
        </w:rPr>
      </w:pPr>
    </w:p>
    <w:p>
      <w:pPr>
        <w:ind w:left="820" w:right="840" w:hanging="303"/>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1: MICVO monotherapy for second line (2L) and third line (3L) R/M HNSCC patients who have received prior platinum-based chemotherapy and prior PD-(L)1 inhibitor therapy; and</w:t>
      </w:r>
    </w:p>
    <w:p>
      <w:pPr>
        <w:spacing w:after="0" w:line="53" w:lineRule="exact"/>
        <w:rPr>
          <w:rFonts w:ascii="Times New Roman" w:cs="Times New Roman" w:eastAsia="Times New Roman" w:hAnsi="Times New Roman"/>
          <w:sz w:val="18"/>
          <w:szCs w:val="18"/>
          <w:color w:val="auto"/>
        </w:rPr>
      </w:pPr>
    </w:p>
    <w:p>
      <w:pPr>
        <w:ind w:left="820" w:right="120" w:hanging="303"/>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2: MICVO monotherapy for 2L and 3L R/M HNSCC patients who have received prior epidermal growth factor receptor (EGFR) directed therapy and prior PD-(L)1 inhibitor therapy.</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December 2025, we reported positive preliminary data from our ongoing Phase 1 monotherapy study evaluating MICVO in patients with 2L+ R/M HNSCC, based on a data cut-off date of November 3, 2025, which included all R/M HNSCC patients dosed at 5.4 mg/kg total body weight (TBW) in Part 1 and in Part 2. As of the data cut-off, 18 R/M HNSCC patients had been treated and 13 patients were efficacy evaluable. All treated patients had received prior systemic therapy, with a median of three prior lines of therapy. All treated patients had received prior platinum-based and checkpoint inhibitor therapies while 67% of treated patients had received prior taxanes and 50% of treated patients had received prior EGFR-targeted therapies, specifically cetuximab. Among the 13 efficacy evaluable patients, the confirmed ORR was 46% (6/13, one patient confirmed response after November 3, 2025 data cut-off) per RECIST v1.1, including one confirmed complete response. Confirmed responses were observed in both dose-expansion cohorts, including patients previously treated with platinum-based therapy and anti-PD(L)1 therapy (Arm 1) and patients previously treated with an EGFR inhibitor and/or anti-PD(L)1 therapy (Arm 2), and were observed in patients regardless of HPV status. The preliminary data also showed a DCR of 92%, with 12 of 13 efficacy evaluable patients demonstrating significant tumor regression or tumor control.</w:t>
      </w:r>
    </w:p>
    <w:p>
      <w:pPr>
        <w:spacing w:after="0" w:line="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Preliminary data reported in December 2025 indicated that MICVO was generally well tolerated. No Grade 4 ADC payload treatment-related adverse events (TRAEs) of interest were observed, and no Grade 5 events occurred. TRAEs were reported in 89% (16/18) of patients, with Grade ≥3 TRAEs reported in 56% (10/18) of patients. TRAEs leading to treatment discontinuation occurred in 28% (5/18) of patients. We observed a higher discontinuation rate and incidence of Grade ≥3 TRAEs in high body weight patients (defined as at least 10% above adjusted ideal body weight, or AIBW). In the preliminary dataset, all patients (5/5) who experienced TRAEs leading to treatment discontinuation had high body weight. Several approved ADCs have demonstrated comparable associations among patient body weight, systematic drug exposure, and tolerability profiles. Many of these ADCs, such as Padcev, Adcetris, and Elahere, have addressed such observations through dosing modifications that resulted in an improved tolerability profile while sustaining efficacy, including through capping the maximum allowable dose or employing AIBW dosing. We are actively evaluating both of these approaches to optimize MICVO’s benefit-risk profile.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MICVO Combination Therapy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2024, we announced a Clinical Trial Collaboration and Supply Agreement with Merck &amp; Co, Inc. or Merck (known as MSD outside of the United States and Canada), for a Pyxis Oncology-sponsored study of MICVO in combination with Merck’s anti-PD-1 therapy, KEYTRUDA® (pembrolizumab). In January 2025, we initiated the Phase 1/2 combination study with KEYTRUDA®, PYX-201-102, and are actively enrolling and dosing patients in this study. PYX-201-102 is a Phase 1/2 open label, global, multicenter dose escalation and dose expansion study designed to evaluate the safety, tolerability, pharmacokinetics (PK), pharmacodynamics (PD) and preliminary efficacy of MICVO in combination with pembrolizumab in patients with advanced solid tumors. Patients with histologically or cytologically confirmed advanced solid tumors, including 1L R/M HNSCC, 2L+ R/M HNSCC, cervical cancer, gastric cancer, HR+/HER2- breast cancer, and locally advanced or metastatic triple-negative breast cancer (TNBC), are eligible to enroll.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PYX-201-102 Phase 1/2 Preliminary Combination Data in R/M HNSCC</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2025, we reported positive preliminary data from this study, evaluating MICVO at 3.6 mg/kg and 4.4 mg/kg IV Q3W, each administered in combination with a fixed 200 mg dose of pembrolizumab Q3W, in patients with 1L/2L+ R/M HNSCC. As of the data cut-off date of November 3, 2025, seven patients had been treated, including four patients at 3.6 mg/kg and three patients at 4.4 mg/kg of MICVO, each in combination with pembrolizumab. All treated patients had received prior systemic therapy, including four patients with 1L R/M HNSCC (median of one prior systemic therapy administered in the neoadjuvant or adjuvant setting) and three patients with 2L+ R/M HNSCC (median of three prior lines of therapy, some of which were administered prior to the R/M setting). Among the seven efficacy-evaluable patients, the confirmed ORR was 71% (5/7, one patient confirmed response after November 3, 2025 data cut-off) and the DCR was 100% (7/7), with all seven patients demonstrating meaningful tumor regression. Responses were observed across a range of PD-L1 combined positive scores (CPS), from CPS≥1 to CPS&gt;20, and included responses in patients who had previously received checkpoint inhibitor treatment and had experienced disease progression while receiving checkpoint inhibitor treatment. Preliminary safety data indicated that MICVO in combination with pembrolizumab was generally well tolerated, with no Grade 3 or Grade 4 ADC payload TRAEs of interest and no Grade 5 events reported. TRAEs were reported in 86% (6/7) of patients. No TRAEs led to treatment discontinuation, and, as of the data cut-off date, no overlapping toxicities between MICVO and pembrolizumab (KEYTRUDA®) had been observed.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Preclinical Data</w:t>
      </w:r>
    </w:p>
    <w:p>
      <w:pPr>
        <w:spacing w:after="0" w:line="121" w:lineRule="exact"/>
        <w:rPr>
          <w:sz w:val="20"/>
          <w:szCs w:val="20"/>
          <w:color w:val="auto"/>
        </w:rPr>
      </w:pPr>
    </w:p>
    <w:p>
      <w:pPr>
        <w:ind w:right="20" w:firstLine="554"/>
        <w:spacing w:after="0" w:line="261" w:lineRule="auto"/>
        <w:rPr>
          <w:sz w:val="20"/>
          <w:szCs w:val="20"/>
          <w:color w:val="auto"/>
        </w:rPr>
      </w:pPr>
      <w:r>
        <w:rPr>
          <w:rFonts w:ascii="Times New Roman" w:cs="Times New Roman" w:eastAsia="Times New Roman" w:hAnsi="Times New Roman"/>
          <w:sz w:val="18"/>
          <w:szCs w:val="18"/>
          <w:color w:val="auto"/>
        </w:rPr>
        <w:t>In April 2026, we presented new preclinical data in a poster session at the American Association for Cancer Research (AACR) 2026 Annual Meeting in San Diego, California. The new preclinical data indicated that a mouse analogue of MICVO (maMICVO) demonstrates anti-tumor activity in a preclinical HNSCC model as monotherapy, and synergistic anti-tumor activity in combination with anti-mouse PD-1. The preclinical data are summarized below:</w:t>
      </w:r>
    </w:p>
    <w:p>
      <w:pPr>
        <w:spacing w:after="0" w:line="72" w:lineRule="exact"/>
        <w:rPr>
          <w:sz w:val="20"/>
          <w:szCs w:val="20"/>
          <w:color w:val="auto"/>
        </w:rPr>
      </w:pPr>
    </w:p>
    <w:p>
      <w:pPr>
        <w:ind w:left="820" w:right="220" w:hanging="303"/>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maMICVO produced dose-dependent inhibition of EDB+FN-expressing MOC2 tumor outgrowth, with 6 mg/kg showing the strongest tumor growth inhibition.</w:t>
      </w:r>
    </w:p>
    <w:p>
      <w:pPr>
        <w:spacing w:after="0" w:line="53" w:lineRule="exact"/>
        <w:rPr>
          <w:rFonts w:ascii="Times New Roman" w:cs="Times New Roman" w:eastAsia="Times New Roman" w:hAnsi="Times New Roman"/>
          <w:sz w:val="18"/>
          <w:szCs w:val="18"/>
          <w:color w:val="auto"/>
        </w:rPr>
      </w:pPr>
    </w:p>
    <w:p>
      <w:pPr>
        <w:ind w:left="820" w:right="80" w:hanging="303"/>
        <w:spacing w:after="0" w:line="26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maMICVO monotherapy modulated the tumor-immune environment in a syngeneic preclinical model of HNSCC toward a more favorable immune-permissive environment. Treatment with maMICVO reduced the overall abundance of immune-suppressive regulatory T cells (Tregs) in MOC2 tumors. maMICVO also increased the CD8 T cell-to-Treg ratio and enhanced the abundance of a progenitor exhausted T cell subset that is highly responsive to anti-PD-1 therapy.</w:t>
      </w:r>
    </w:p>
    <w:p>
      <w:pPr>
        <w:spacing w:after="0" w:line="71" w:lineRule="exact"/>
        <w:rPr>
          <w:rFonts w:ascii="Times New Roman" w:cs="Times New Roman" w:eastAsia="Times New Roman" w:hAnsi="Times New Roman"/>
          <w:sz w:val="18"/>
          <w:szCs w:val="18"/>
          <w:color w:val="auto"/>
        </w:rPr>
      </w:pPr>
    </w:p>
    <w:p>
      <w:pPr>
        <w:ind w:left="820" w:hanging="303"/>
        <w:spacing w:after="0" w:line="26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maMICVO in combination with anti-mouse PD-1 worked synergistically to produce greater anti-tumor activity compared with either treatment alone in an immune-refractory syngeneic preclinical model of HNSCC. The combination of maMICVO and anti-mouse PD-1 resulted in greater tumor control and tumor growth inhibition than monotherapy with either maMICVO or anti-mouse PD-1. Bliss independence analysis confirmed that maMICVO acted synergistically with anti-mouse PD-1 in a preclinical model unresponsive to anti-mouse PD-1 monotherapy.</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believe the totality of our preliminary clinical and preclinical data supports continued clinical development of both MICVO monotherapy expansion and combination therapy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Pipeline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85725</wp:posOffset>
            </wp:positionV>
            <wp:extent cx="5829300" cy="1817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MICVO Monotherapy Pipeline</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dose expansion phase of our PYX-201-101 monotherapy study is ongoing with the objective of further evaluating the preliminary safety, efficacy and durability signals observed with MICVO in R/M HNSCC at the 5.4mg/kg IV Q3W dose. In the first quarter of 2026, we completed target enrollment of approximately 40 patients across two 2L+ R/M HNSCC cohorts in the Phase 1 monotherapy dose expansion study of MICVO and are actively treating patients in both the cohorts. The dose expansion phase includes the following R/M HNSCC cohorts across sites in the United States (US), European Union (EU) and other countries:</w:t>
      </w:r>
    </w:p>
    <w:p>
      <w:pPr>
        <w:spacing w:after="0" w:line="75" w:lineRule="exact"/>
        <w:rPr>
          <w:sz w:val="20"/>
          <w:szCs w:val="20"/>
          <w:color w:val="auto"/>
        </w:rPr>
      </w:pPr>
    </w:p>
    <w:p>
      <w:pPr>
        <w:ind w:left="820" w:right="120" w:hanging="303"/>
        <w:spacing w:after="0" w:line="266"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MICVO monotherapy for 2L and 3L R/M HNSCC patients who have received prior platinum-based chemotherapy and prior PD-(L)1 inhibitor therapy. We expect to enroll approximately 20 patients in this expansion cohort at the 5.4 mg/kg IV Q3W dose and are on track to report updated clinical data from this cohort in mid-2026; and</w:t>
      </w:r>
    </w:p>
    <w:p>
      <w:pPr>
        <w:spacing w:after="0" w:line="67" w:lineRule="exact"/>
        <w:rPr>
          <w:rFonts w:ascii="Times New Roman" w:cs="Times New Roman" w:eastAsia="Times New Roman" w:hAnsi="Times New Roman"/>
          <w:sz w:val="18"/>
          <w:szCs w:val="18"/>
          <w:color w:val="auto"/>
        </w:rPr>
      </w:pPr>
    </w:p>
    <w:p>
      <w:pPr>
        <w:jc w:val="both"/>
        <w:ind w:left="820" w:right="120" w:hanging="303"/>
        <w:spacing w:after="0" w:line="266"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MICVO monotherapy for 2L and 3L R/M HNSCC patients who have received prior epidermal growth factor receptor (EGFR) directed therapy and prior PD-(L)1 inhibitor therapy. We expect to enroll approximately 20 patients in this expansion cohort at the 5.4 mg/kg IV Q3W dose and are on track to report updated clinical data from this cohort in mid-2026.</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mid-year 2026 update will focus on participants treated at 5.4 mg/kg IV Q3W with a dose equivalent to or below a dose cap, and will include detailed analyses of the impact of dose capping on safety, tolerability, and efficacy. Dose capping and AIBW are both well-established approaches to modified weight-based dosing and have demonstrated improved tolerability without sacrificing clinical activity in studies of other ADCs. In December 2025, we implemented a dose cap for higher body weight patients. Based on internal PK simulation modeling indicating that MICVO exposure with dose capping and AIBW dosing are comparable, dose capping was prioritized for its operational simplicity and ease of implementation. A protocol amendment permitting AIBW dosing has since been approved, and AIBW dosing has begun in ongoing clinical studies. AIBW will be selected as a go-forward dose strategy only if it offers a superior profile to dose capping.</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2025, we obtained feedback and alignment from the U.S. Food and Drug Administration (FDA) regarding the clinical trial design for a planned pivotal monotherapy study in 2L+ R/M HNSCC.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MICVO Combination Therapy Pipeline</w:t>
      </w:r>
    </w:p>
    <w:p>
      <w:pPr>
        <w:spacing w:after="0" w:line="119"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Phase 1/2 combination study with KEYTRUDA® (PYX-201-102) is ongoing and we are conducting the dose escalation phase of PYX-201-102 across multiple tumor types with the objective of identifying the Recommended Phase 2 Dose (RP2D) of MICVO in combination with pembrolizumab. We are currently enrolling and dosing patients across several dose levels between 3.6 mg/kg and 5.4 mg/kg of MICVO, in combination with pembrolizumab at the fixed dose of 200 mg IV Q3W, in order to accurately characterize the RP2D for MICVO in combination with pembrolizumab, subject to ongoing safety review, enrollment progress, and clinical data evaluation.</w:t>
      </w:r>
    </w:p>
    <w:p>
      <w:pPr>
        <w:spacing w:after="0" w:line="7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are on track to report updated data in the second half of 2026 from the ongoing PYX-201-102 Phase 1/2 dose escalation study evaluating MICVO in combination with KEYTRUDA®, with the update focused on patients with 1L R/M HNSCC.</w:t>
      </w:r>
    </w:p>
    <w:p>
      <w:pPr>
        <w:spacing w:after="0" w:line="54"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resources on conducting research and development activities, undertaking preclinical studies and clinical trials, organizing and staffing our company, business planning, raising capital, establishing and maintaining our intellectual property portfolio and identifying potential product candidates. We do not have any products approved for sale and have not generated any revenue from product sales. We have incurred significant operating losses since our inception. We reported net losses of $23.3 million and $21.2 million for the three months ended March 31, 2026 and 2025, respectively. As of March 31, 2026, we had an accumulated deficit of $466.4 million, net equity of $31.3 million, and cash, cash equivalents and marketable debt securities of $41.0 million. We expect to continue to incur significant expenses and operating losses for the foreseeable future. We expect that our expenses and capital expenditures will increase substantially in connection with our ongoing activities. Our operations to date have been financed primarily through sales of convertible preferred stock and sale of equity securities and additional funding will be necessary to fund future clinical and preclinical activities.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revenues from product sales and do not expect to generate any revenues from product sales in the foreseeable future. We record revenues from research and development agreements, including amounts related to upfront receipt for license fees, royalties, milestones and other contingent receipts and fees for research and development services.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revenues will depend upon our ability to successfully develop, obtain regulatory approval and commercialize our product candidate. Due to the numerous risks and uncertainties associated with product development and regulatory approval, we are unable to predict the amount, timing or whether we will be able to obtain product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components of our cost of revenues are expenses directly attributable to revenues. During the three months ended March 31, 2026 and 2025, the Company has not incurred any costs with respect to revenue.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research work to support clinical development, and the development of our programs. Research and development expenses are separated into program-specific costs and unallocated costs.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Program-specific costs include: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third party costs, which include expenses incurred under agreements with contract research organizations (CROs), and the cost of consultants who assist with the development of our product candidate on a program-specific basis, investigator grants, sponsored research, and any other third party expenses directly attributable to the development of the product candidates;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developing, manufacturing and testing clinical and preclinical materials, including costs incurred under agreements with contract development and manufacturing organizations (CDMOs) to the extent they can be allocated to a specific program;</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related to the acquisition and retention of certain licensed technology and intellectual property rights for a specific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 that are directly attributable to the development of the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Unallocated costs include:</w:t>
      </w:r>
    </w:p>
    <w:p>
      <w:pPr>
        <w:spacing w:after="0" w:line="117"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for research and development personnel, including salaries, bonus, payroll taxes, related benefits, severance and other staff-related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for employees engaged in research and development activities;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costs, which include allocated expenses for rent and maintenance of facilities, depreciation of leasehold improvements and equipment, laboratory supplies, third party cost for discovery research and the cost of consultants who assist with our research and development and costs related to contract manufacturing, but are not allocated to a specific program.</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in connection with our ongoing and planned preclinical and clinical development activities related to our product candidate in the near term and in the future. The successful development of our product candidate is highly uncertain. At this time, we cannot accurately estimate or know the nature, timing and costs of the efforts that will be necessary to complete the preclinical and clinical development of our product candidate and we may never succeed in obtaining regulatory approval for our product candidate.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stock-based compensation, and severance for our personnel in executive, legal, finance and accounting, human resources and other administrative functions. General and administrative expenses also include professional fees for auditing, tax, and legal services, as well as insurance, board of director compensation, consulting, other administrative expenses and facility costs not otherwise included in research and development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interest earned on our invested cash and cash equivalent balances, accretion of discounts associated with our marketable debt securities and sublease income under our sublease.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8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19,983</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09"/>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(22,914)</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(23,272)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(21,158)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-1032510</wp:posOffset>
            </wp:positionV>
            <wp:extent cx="10287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-1032510</wp:posOffset>
            </wp:positionV>
            <wp:extent cx="9398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-1032510</wp:posOffset>
            </wp:positionV>
            <wp:extent cx="9398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Program-specific costs:</w:t>
            </w:r>
          </w:p>
        </w:tc>
        <w:tc>
          <w:tcPr>
            <w:tcW w:w="9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MICVO</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PYX-106</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program costs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program costs</w:t>
            </w:r>
          </w:p>
        </w:tc>
        <w:tc>
          <w:tcPr>
            <w:tcW w:w="9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13,270</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8,530</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costs: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costs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19,983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17,044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$2.9 million, from $17.0 million for the three months ended March 31, 2025 to $19.9 million for the three months ended March 31, 2026.</w:t>
      </w:r>
    </w:p>
    <w:p>
      <w:pPr>
        <w:spacing w:after="0" w:line="5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MICVO program-specific research and development costs increased by $5.5 million, primarily reflecting a $4.4 million increase in clinical trial-related expenses due to an increased number of patients dosed in the MICVO monotherapy and combination therapy trials, as well as an $0.8 million increase in preclinical studies.</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PYX-106 program-specific research and development costs decreased by $0.5 million, reflecting lower program-related expenses following the pause in clinical development of PYX-106-101 in December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program costs mainly reflects costs for storage of drug products and drug materials and intellectual property related costs.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Unallocated research and development costs decreased by $1.8 million due to decreased severance expense of $1.0 million, decreased employee recruitment costs of $0.4 million, and a reduction in other research and development support costs of $0.4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w:t>
            </w:r>
          </w:p>
        </w:tc>
        <w:tc>
          <w:tcPr>
            <w:tcW w:w="21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insurance and other costs</w:t>
            </w:r>
          </w:p>
        </w:tc>
        <w:tc>
          <w:tcPr>
            <w:tcW w:w="1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21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4,377</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-1079500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-1079500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$1.5 million, from $5.9 million for the three months ended March 31, 2025 to $4.4 million for the three months ended March 31, 2026. This decrease was primarily attributable to a $1.8 million reduction in personnel-related expenses, mainly due to lower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2026 and 2025 was $1.1 million and $1.8 million, respectively. The decrease of $0.7 million was primarily due to lower interest and investment income, partially offset by higher sublease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cash, cash equivalents and marketable debt securities of $41.0 million as of March 31, 2026. For the three months ended March 31, 2026 and 2025, we had net losses of $23.3 million and $21.2 million, respectively. As of March 31, 2026, we had an accumulated deficit of $466.4 million.</w:t>
      </w:r>
    </w:p>
    <w:p>
      <w:pPr>
        <w:spacing w:after="0" w:line="54"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On November 26, 2025, we filed a registration statement on Form S-3 with the SEC for the issuance of common stock, preferred stock, warrants, debt securities, rights and units with an aggregate offering price of up to $350.0 million. On December 9, 2025, the registration statement was declared effective by the SEC. The registration statement includes an at-the-market (“ATM”) offering program for the sale of up to $150.0 million of shares of our common stock. During the three months ended March 31, 2026 and 2025, we did not sell any shares under the ATM program. As of March 31, 2026, we had $150.0 million of remaining capacity available under the ATM facility.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further clinical trials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MICVO. The timing and amount of our funding requirements will depend on many factors, including:</w:t>
      </w:r>
    </w:p>
    <w:p>
      <w:pPr>
        <w:spacing w:after="0" w:line="9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monotherapy and combination therapy clinical trials for MICVO;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 products and drug substance for MICVO;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other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in-licensing, collaborations and research and development agreements;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our product candidate for which we receive marketing licensure;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maintaining and enforcing patent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licenses;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legal and other regulatory compliance expenses to operate as a public company.</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revenues,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 that we would otherwise prefer to develop and market ourselves.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5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periods presented (in thousands):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gridSpan w:val="6"/>
          </w:tcPr>
          <w:p>
            <w:pPr>
              <w:jc w:val="right"/>
              <w:ind w:right="1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8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(26,000)</w:t>
            </w:r>
          </w:p>
        </w:tc>
        <w:tc>
          <w:tcPr>
            <w:tcW w:w="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(22,535)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580" w:type="dxa"/>
            <w:vAlign w:val="bottom"/>
          </w:tcPr>
          <w:p>
            <w:pPr>
              <w:spacing w:after="0"/>
              <w:rPr>
                <w:sz w:val="18"/>
                <w:szCs w:val="18"/>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16,369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15,821</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8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(9,656)</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(6,714)</w:t>
            </w:r>
          </w:p>
        </w:tc>
      </w:tr>
      <w:tr>
        <w:trPr>
          <w:trHeight w:val="20"/>
        </w:trPr>
        <w:tc>
          <w:tcPr>
            <w:tcW w:w="5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$26.0 million, which consisted of our net loss of $23.3 million and a net change in our operating assets and liabilities of $4.4 million, partially offset by non-cash charges of $1.7 million. Non-cash charges of $1.7 million primarily consisted of $1.2 million of stock-based compensation, $0.5 million of depreciation and amortization expense, and $0.2 million of non-cash operating lease expense, partially offset by $0.2 million of accretion of discounts on marketable debt securities. The net change in operating assets and liabilities was primarily driven by a $5.9 million decrease in accounts payable, a $1.2 million increase in accrued expenses and other current liabilities, and a $0.7 million increase in prepaid expenses and other current assets, partially offset by other working capital changes, reflecting the timing of vendor payments and ongoing clinical trial activities.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$22.5 million, which consisted of our net loss of $21.2 million and a net change in our operating assets and liabilities of $4.6 million, partially offset by non-cash charges of $3.2 million. The non-cash charges of $3.2 million was primarily due to $3.6 million of stock-based compensation, $0.6 million of depreciation and amortization expenses, offset by $1.2 million related to accretion of discounts on marketable debt securities. The net change in our operating assets and liabilities was primarily due to decrease in accounts payable by $2.0 million, accrued expenses and other current liabilities by $1.3 million and reduction in prepaid expenses by $0.9 million primarily related to the timing of vendor payments and services performed related to our ongoing clinical trials.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investing activities was $16.4 million, which consisted primarily of $27.4 million of maturities and redemptions of marketable debt securities, partially offset by $11.0 million of purchases of marketable debt securities.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was $15.8 million, which consisted primarily of $67.2 million of maturities and redemptions of marketable debt securities, partially offset by $51.4 million of purchases of marketable debt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financing activities was $0.03 million, which primarily related to tax withholding payments associated with the net settlement of restricted stock awards.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financing activities during the three months ended March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 and Going Concern</w:t>
      </w:r>
    </w:p>
    <w:p>
      <w:pPr>
        <w:spacing w:after="0" w:line="11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approximately $41.0 million in cash, cash equivalents and marketable debt securities. We believe that our cash, cash equivalents and marketable debt securities as of March 31, 2026 will be sufficient to fund our operations into the fourth quarter of 2026.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7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future cash flows are dependent on key variables such as our ability to secure additional sources of funding in the form of public or private financing of equity or debt or collaboration agreements or a combination of these. While we remain optimistic to obtain additional funding, the current available cash, cash equivalents and marketable debt securities, will not be sufficient to fund our operations over the next 12 months from the date of this Quarterly Report on Form 10-Q. This condition raises substantial doubt about our ability to continue as a going concern for one year from the date the unaudited condensed consolidated financial statements are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lease an office and laboratory space in Boston, Massachusetts with lease payments that continue through December 31, 2032, and have scheduled rent increases each year of 3%. Additionally, we sublease 17,729 square feet of office and laboratory space in the building located at 321 Harrison Avenue, Boston, Massachusetts. The remaining contractual fixed lease payments, net of sublease payments and tenant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improvement allowance, over the term of the lease aggregate to $24.7 million. The operating lease obligation is discussed in Note 10. Leases to our unaudited condensed consolidated financial statements included in Part I, Item 1 of this Quarterly Report on Form 10-Q for further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obligations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licensing and related agreements in the normal course of business. In accordance with these agreements, we are obligated to pay, among other items, future contingent payments, royalties, and sublicensing revenues in the future, as applicable. We have not included potential future payments due under these licensing and collaboration agreements in contractual obligations because the payment obligations under the agreements are contingent upon future events. Refer to Note 6. Licensing Agreements, to our unaudited condensed consolidated financial statements included in Part I, Item 1 of this Quarterly Report on Form 10-Q for further information.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enter into contracts in the normal course of business with CDMOs, CROs, and other third parties for preclinical work and clinical development related work. These contracts do not contain minimum purchase commitments and are cancelable by us upon prior written notice. Payments due upon cancellation consist only of payments for services provided or expenses incurred, including non-cancelable obligations of our service providers, up to the date of cancellation. These payments are not included in the contractual obligations above as the amount and timing of such payments are not known.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Securities and Exchange Commission.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generally accepted accounting principles in the United States.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as compared to those described in “Note 2 – Summary of Significant Accounting Policies” to our audited financial statements set forth in our Fiscal 2025 10-K.</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information with respect to recently issued accounting standards and the impact of these standards on our unaudited condensed consolidated financial statements, refer to Note 2. Summary of Significant Accounting Policies to our unaudited condensed consolidated financial statements included in Part I,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Jumpstart Our Business Startups Act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are also a “smaller reporting company,” meaning that the market value of our shares held by non-affiliates is less than $700 million and our annual revenues were less than $100 million during the most recently completed fiscal year.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revenues, we would not be required to obtain an attestation report on internal control over financial reporting issued by our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SEC rules and regulations, because we are considered to be a “smaller reporting company”, we are not required to provide the information required by this item in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and Accounting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Principal Executive Officer and Principal Financial and Accounting Officer concluded that, as of the end of the period covered by this Quarterly Report on Form 10-Q, our disclosure controls and procedures were effective at the reasonable assurance level.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Exchange Act Rules 13a-15 or 15d-15 that occurred during the period covered by this Quarterly Report on Form 10-Q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 and Procedures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that arise in the ordinary course of our business. We are not currently a party to any material legal proceedings, and are not aware of any pending or threatened legal proceeding against us that we believe could have an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business involves a high degree of risk. You should consider and read carefully all of the risks and uncertainties described below, as well as other inf</w:t>
      </w:r>
      <w:r>
        <w:rPr>
          <w:rFonts w:ascii="Times New Roman" w:cs="Times New Roman" w:eastAsia="Times New Roman" w:hAnsi="Times New Roman"/>
          <w:sz w:val="18"/>
          <w:szCs w:val="18"/>
          <w:i w:val="1"/>
          <w:iCs w:val="1"/>
          <w:color w:val="auto"/>
        </w:rPr>
        <w:t>ormation included in this Form 10-Q, including our financial statements and related notes appearing in this Form 10-Q. The risks described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are a clinical stage oncology company with a limited operating history and have incurred significant losses since our inception and anticipate that we will continue to incur losses over at least the next several years and may never achieve or maintain profitability.</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reported net losses of $23.3 million and $21.2 million for the quarter ended March 31, 2026 and 2025, respectively. As of March 31, 2026, we had an accumulated deficit of $466.4 million. To date, we have not generated any revenues from product sales and have financed our operations primarily through equity offerings. As such, we expect that it will be several years, if ever, before we have a product candidate ready for regulatory licensure and commercialization. We may never succeed in these activities and, even if we do, may never generate revenues that are significant enough to achieve profitability. To become and remain profitable, we must succeed in developing, obtaining marketing licensure for and commercializing products that generate significant revenue. This will require us to be successful in a range of challenging activities, including, without limitation, procuring clinical- and commercial-scale manufacturing, successfully completing preclinical studies and clinical trials of our product candidate, establishing arrangements with third parties for the conduct of our clinical trials, obtaining marketing licensure for our product candidate, manufacturing, marketing and selling any products for which we may obtain marketing licensure, discovering or obtaining rights to additional product candidates, identifying collaborators to develop product candidates we identify or additional uses of our existing product candidate and successfully completing development of our product candidate for our collaboration partners.</w:t>
      </w:r>
    </w:p>
    <w:p>
      <w:pPr>
        <w:spacing w:after="0" w:line="8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at least the next several years. We anticipate that our expenses will increase substantially if and as we:</w:t>
      </w:r>
    </w:p>
    <w:p>
      <w:pPr>
        <w:spacing w:after="0" w:line="54" w:lineRule="exact"/>
        <w:rPr>
          <w:sz w:val="20"/>
          <w:szCs w:val="20"/>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conduct clinical trials and seek regulatory approvals for MICVO;</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external manufacturing capabilities for later stage trials and to commercialize our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for which we may obtain marketing licensure;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scientific, operational, financial and management information personnel;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U.S. Food and Drug Administration (FDA), the European Medicines Agency (EMA) or other comparable regulatory authorities to perform trials in addition to those that we currently expect to perform, or if we experience any delays in establishing appropriate manufacturing arrangements for completing our clinical trials or the clinical development of our product candidate.</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or continue operations. A decline in the value of our company, or in the value of our common stock, could also cause investors to lose all or part of their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Even if we are able to generate revenues from the sale or out-licensing of any approved products, we may not become profitable and may need to obtain additional funding to continue operations.</w:t>
      </w:r>
    </w:p>
    <w:p>
      <w:pPr>
        <w:spacing w:after="0" w:line="50"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substantial additional capital in the near term, which may result in dilution to our stockholders or impose additional restrictions on our operations.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Given our current cash position and ongoing clinical development expenses, we may seek additional financing through equity offerings, debt financings, collaborations or other strategic transactions. Any such financing may result in significant dilution to existing stockholders, impose restrictive covenants, or require us to relinquish rights to our technologies or product candidates. In addition, adverse market conditions or volatility in the biotechnology sector may limit our ability to raise capital on acceptable terms, or at all.</w:t>
      </w:r>
    </w:p>
    <w:p>
      <w:pPr>
        <w:spacing w:after="0" w:line="68"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have substantial doubt about our ability to continue as a going concern and we will require substantial additional capital to finance our operations. If we are unable to raise such capital when needed, or on acceptable terms, we may not be able to continue as a going concern or we may be forced to delay, reduce or eliminate one or more of our research and product development programs or future commercialization efforts.</w:t>
      </w:r>
    </w:p>
    <w:p>
      <w:pPr>
        <w:spacing w:after="0" w:line="6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recurring losses from operations raise substantial doubt about our ability to continue as a going concern. As a result, the financial statements accompanying this Quarterly Report on Form 10-Q include a statement that there is substantial doubt about our ability to continue as a going concern for one year after the date the financial statements were issued, and these financial statements do not include any adjustments that might result from the outcome of this uncertainty.</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continue our clinical trials for MICVO. As of March 31, 2026, we had approximately $42.5 million in cash, cash equivalents, restricted cash and marketable debt securities. We believe that our cash, cash equivalents and marketable debt securities as of March 31, 2026, will be sufficient to fund our operations into the fourth quarter of 2026. However, we have based this estimate on assumptions that may prove to be wrong, and our operating plan may change as a result of many factors currently unknown to us. In addition, we could utilize our available capital resources sooner than we expect. Even if our product candidate is approved for commercial sale, we anticipate incurring significant costs associated with sales, marketing, manufacturing and distribution activities. Our expenses could increase beyond expectations if we are required by the FDA, the EMA or other comparable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estimate as to how long we expect to be able to continue to fund our operations is based on assumptions that may prove to be wrong, and we could use our available capital resources sooner than we currently expect. Changing circumstances, some of which may be beyond our control, including market volatility resulting from global economic developments, political unrest, high inflation and other factors, could cause us to consume capital significantly faster than we currently anticipate, and we may need to seek additional funds sooner than planned.</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intend to use our cash and cash equivalents for development and regulatory activities relating to our product candidate, and other general corporate purposes. Advancing the development of our product candidate will require a significant amount of capital. Our cash and cash equivalents will not be sufficient to fund our product candidate through regulatory licensure. Because the length of time and activities associated with successful research and development of any individual product candidate are highly uncertain, we are unable to estimate the actual funds we will require for development, marketing licensure and commercialization activities. The timing and amount of our operating expenditures will depend largely on:</w:t>
      </w:r>
    </w:p>
    <w:p>
      <w:pPr>
        <w:spacing w:after="0" w:line="75" w:lineRule="exact"/>
        <w:rPr>
          <w:sz w:val="20"/>
          <w:szCs w:val="20"/>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dose escalation and dose expansion mono and combo clinical trials for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 products and drug substance for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other preclinical and clinical development activities;</w:t>
      </w:r>
    </w:p>
    <w:p>
      <w:pPr>
        <w:spacing w:after="0" w:line="117" w:lineRule="exact"/>
        <w:rPr>
          <w:rFonts w:ascii="Times New Roman" w:cs="Times New Roman" w:eastAsia="Times New Roman" w:hAnsi="Times New Roman"/>
          <w:sz w:val="18"/>
          <w:szCs w:val="18"/>
          <w:color w:val="auto"/>
        </w:rPr>
      </w:pPr>
    </w:p>
    <w:p>
      <w:pPr>
        <w:ind w:left="820" w:right="120" w:hanging="303"/>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our product candidate for which we receive marketing licensure;</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maintaining, enforcing and expanding patent and other intellectual property rights;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licenses;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legal and other regulatory compliance expenses to operate as a public company.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9" w:name="page30"/>
    <w:bookmarkEnd w:id="29"/>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not be able to continue as a going concern, we may have to delay, reduce or terminate our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our product candidate that we would otherwise pursue on our own. We will be required to seek additional funding in the future and our ability to raise additional funds will depend on financial, economic and other factors, many of which are beyond our control. Additional funds may not be available to us on acceptable terms or at all. For example, market volatility resulting from global economic developments, political unrest, high inflation and other factors could adversely impact our ability to access capital as and when needed.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w:t>
      </w:r>
    </w:p>
    <w:p>
      <w:pPr>
        <w:spacing w:after="0" w:line="76" w:lineRule="exact"/>
        <w:rPr>
          <w:sz w:val="20"/>
          <w:szCs w:val="20"/>
          <w:color w:val="auto"/>
        </w:rPr>
      </w:pPr>
    </w:p>
    <w:p>
      <w:pPr>
        <w:ind w:right="6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 In addition, changes in global macroeconomic conditions and government trade policies could further increase our operating costs and accelerate our need for additional capital. New or increased tariffs, import surcharges, trade restrictions, retaliatory measures, or other limitations on the movement of goods and services, whether imposed by the United States or other jurisdictions, could increase the cost of materials, equipment and services used in our research, development and manufacturing activities. Such measures could also disrupt global supply chains, increase transportation and logistics costs, and create delays in the delivery of clinical supplies. Any of these developments could materially increase our cash burn, delay development timelines, and adversely affect our ability to obtain additional financing on acceptable terms, or at all.</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w:t>
      </w:r>
    </w:p>
    <w:p>
      <w:pPr>
        <w:spacing w:after="0" w:line="117"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Clinical testing and product development is a lengthy and expensive process with an uncertain outcome. We may incur unexpected costs or experience delays in completing, or ultimately be unable to complete, the clinical testing and the development and commercialization of our product candidate.</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 we or our collaborators must conduct extensive trials to demonstrate the safety and efficacy of the product candidate. Clinical testing is expensive, difficult to design and implement, can take many years to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licensure or commercialize our product candidate, including:</w:t>
      </w:r>
    </w:p>
    <w:p>
      <w:pPr>
        <w:spacing w:after="0" w:line="75" w:lineRule="exact"/>
        <w:rPr>
          <w:sz w:val="20"/>
          <w:szCs w:val="20"/>
          <w:color w:val="auto"/>
        </w:rPr>
      </w:pPr>
    </w:p>
    <w:p>
      <w:pPr>
        <w:ind w:left="820" w:hanging="303"/>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the failure to reach, a consensus with regulators on clinical trial design;</w:t>
      </w:r>
    </w:p>
    <w:p>
      <w:pPr>
        <w:spacing w:after="0" w:line="117" w:lineRule="exact"/>
        <w:rPr>
          <w:rFonts w:ascii="Times New Roman" w:cs="Times New Roman" w:eastAsia="Times New Roman" w:hAnsi="Times New Roman"/>
          <w:sz w:val="18"/>
          <w:szCs w:val="18"/>
          <w:color w:val="auto"/>
        </w:rPr>
      </w:pPr>
    </w:p>
    <w:p>
      <w:pPr>
        <w:jc w:val="both"/>
        <w:ind w:left="820" w:hanging="303"/>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 or other materials necessary to conduct clinical trials of our product candidate may be insufficient or inadequate, including as a result of delays in the testing, validation, manufacturing and delivery of product candidate to the clinical sites by us or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the failure to reach,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820" w:right="120" w:hanging="303"/>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regulators or institutional review boards to authorize us or our investigators to commence a clinical trial or conduct a clinical trial at a prospective trial site;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left="82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in selecting endpoints for diseases that have not been well 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that may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820" w:right="40" w:hanging="303"/>
        <w:spacing w:after="0" w:line="266"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 may be larger than we anticipate, enrollment in these clinical trials may be slower than we anticipate, participants may fail during screening or drop out of these clinical trials at a higher rate than we anticipate or fail to return for post-treatment follow-up or the failure to recruit suitable patients to participate in our clinical trials;</w:t>
      </w:r>
    </w:p>
    <w:p>
      <w:pPr>
        <w:spacing w:after="0" w:line="67" w:lineRule="exact"/>
        <w:rPr>
          <w:rFonts w:ascii="Times New Roman" w:cs="Times New Roman" w:eastAsia="Times New Roman" w:hAnsi="Times New Roman"/>
          <w:sz w:val="18"/>
          <w:szCs w:val="18"/>
          <w:color w:val="auto"/>
        </w:rPr>
      </w:pPr>
    </w:p>
    <w:p>
      <w:pPr>
        <w:ind w:left="820" w:right="48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 may have undesirable side effects or other unexpected characteristics, causing us or our investigators, regulators or institutional review boards to suspend or terminate our clinical trials;</w:t>
      </w:r>
    </w:p>
    <w:p>
      <w:pPr>
        <w:spacing w:after="0" w:line="53" w:lineRule="exact"/>
        <w:rPr>
          <w:rFonts w:ascii="Times New Roman" w:cs="Times New Roman" w:eastAsia="Times New Roman" w:hAnsi="Times New Roman"/>
          <w:sz w:val="18"/>
          <w:szCs w:val="18"/>
          <w:color w:val="auto"/>
        </w:rPr>
      </w:pPr>
    </w:p>
    <w:p>
      <w:pPr>
        <w:ind w:left="820" w:right="30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 for various reasons, including a finding that the participants are being exposed to unacceptable safety risks or that the benefit-risk ratio is negative;</w:t>
      </w:r>
    </w:p>
    <w:p>
      <w:pPr>
        <w:spacing w:after="0" w:line="53" w:lineRule="exact"/>
        <w:rPr>
          <w:rFonts w:ascii="Times New Roman" w:cs="Times New Roman" w:eastAsia="Times New Roman" w:hAnsi="Times New Roman"/>
          <w:sz w:val="18"/>
          <w:szCs w:val="18"/>
          <w:color w:val="auto"/>
        </w:rPr>
      </w:pPr>
    </w:p>
    <w:p>
      <w:pPr>
        <w:ind w:left="820" w:right="10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with whom we contract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820" w:right="54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from regulators or institutional review boards that we or our investigators suspend or terminate clinical trials for various reasons, including noncompliance with regulatory requirements or unacceptable safety risks;</w:t>
      </w:r>
    </w:p>
    <w:p>
      <w:pPr>
        <w:spacing w:after="0" w:line="53" w:lineRule="exact"/>
        <w:rPr>
          <w:rFonts w:ascii="Times New Roman" w:cs="Times New Roman" w:eastAsia="Times New Roman" w:hAnsi="Times New Roman"/>
          <w:sz w:val="18"/>
          <w:szCs w:val="18"/>
          <w:color w:val="auto"/>
        </w:rPr>
      </w:pPr>
    </w:p>
    <w:p>
      <w:pPr>
        <w:ind w:left="820" w:right="54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 may produce negative or inconclusive results and we may decide, or regulators may require us, to conduct additional clinical trials or abandon product candidate development and discovery programs;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 may be greater than we anticipate;</w:t>
      </w:r>
    </w:p>
    <w:p>
      <w:pPr>
        <w:spacing w:after="0" w:line="117" w:lineRule="exact"/>
        <w:rPr>
          <w:rFonts w:ascii="Times New Roman" w:cs="Times New Roman" w:eastAsia="Times New Roman" w:hAnsi="Times New Roman"/>
          <w:sz w:val="18"/>
          <w:szCs w:val="18"/>
          <w:color w:val="auto"/>
        </w:rPr>
      </w:pPr>
    </w:p>
    <w:p>
      <w:pPr>
        <w:ind w:left="820" w:right="100" w:hanging="303"/>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concerns with the class of our product candidate or after an inspection of our clinical trial operations, trial sites or manufacturing facilities;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and validating any companion diagnostic to be used in the trial, to the extent we are required to do so.</w:t>
      </w:r>
    </w:p>
    <w:p>
      <w:pPr>
        <w:spacing w:after="0" w:line="117"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FDA may modify or enhance clinical trial requirements which may affect enrollment and retention of patients and may increase costs and delay clinical programs.</w:t>
      </w:r>
    </w:p>
    <w:p>
      <w:pPr>
        <w:spacing w:after="0" w:line="54"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 beyond those that we currently contemplate, if we are unable to successfully complete clinical trials of our product candidate or other testing, if the results of these trials or tests are not positive or are only modestly positive or if there are safety concerns, we may:</w:t>
      </w:r>
    </w:p>
    <w:p>
      <w:pPr>
        <w:spacing w:after="0" w:line="68" w:lineRule="exact"/>
        <w:rPr>
          <w:sz w:val="20"/>
          <w:szCs w:val="20"/>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licensure for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licensure at all;</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licensure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licensure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marketing licensure;</w:t>
      </w:r>
    </w:p>
    <w:p>
      <w:pPr>
        <w:spacing w:after="0" w:line="117" w:lineRule="exact"/>
        <w:rPr>
          <w:rFonts w:ascii="Times New Roman" w:cs="Times New Roman" w:eastAsia="Times New Roman" w:hAnsi="Times New Roman"/>
          <w:sz w:val="18"/>
          <w:szCs w:val="18"/>
          <w:color w:val="auto"/>
        </w:rPr>
      </w:pPr>
    </w:p>
    <w:p>
      <w:pPr>
        <w:ind w:left="820" w:right="260" w:hanging="303"/>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license, or impose restrictions on distribution of the product candidate in the form of a modified REMS;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w:t>
      </w:r>
    </w:p>
    <w:p>
      <w:pPr>
        <w:spacing w:after="0" w:line="117" w:lineRule="exact"/>
        <w:rPr>
          <w:rFonts w:ascii="Times New Roman" w:cs="Times New Roman" w:eastAsia="Times New Roman" w:hAnsi="Times New Roman"/>
          <w:sz w:val="18"/>
          <w:szCs w:val="18"/>
          <w:color w:val="auto"/>
        </w:rPr>
      </w:pPr>
    </w:p>
    <w:p>
      <w:pPr>
        <w:ind w:left="820" w:right="660" w:hanging="303"/>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receive approval of any companion diagnostics that may be required by the FDA or comparable foreign regulatory authorities in connection with approval of our therapeutic product candidate; or</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product removed from the market after obtaining marketing licensure.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1" w:name="page32"/>
    <w:bookmarkEnd w:id="31"/>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licensure. We do not know whether any of our preclinical studies or clinical trials will need to be restructured or will be completed on schedule, or at all. Significant preclinical study or clinical trial delays also could shorten any periods during which we may have the exclusive right to commercialize our product candidate, or could allow our competitors to bring products to market before we do and impair our ability to successfully commercialize our product candidate, which may harm our business, results of operations, financial condition and prospects.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 line, second line or third line. The FDA often approves or licenses new oncology therapies initially only for third line or later use, meaning for use after two or more other treatments have failed. When cancer is detected early enough, first line therapy, usually hormone therapy, surgery, radiation therapy, immunotherapy or a combination of these, is sometimes adequate to cure the cancer or prolong life without a cure. Second line and third line therapies are administered to patients when prior therapy is not effective. Our clinical trials are, and any future clinical trials will be, with patients with difficult to treat cancer. We expect that we would initially seek regulatory licensure for use of this product candidate in appropriate treatment settings. Subsequently, for those products that prove to be sufficiently beneficial, if any, we would expect to seek licensure potentially as a first line therapy, but any product candidate we develop, even if approved for second line or third line therapy, may not be approved for first line therapy and, prior to seeking and/or receiving any licensures for first line therapy, we may have to conduct additional clinical trials.</w:t>
      </w:r>
    </w:p>
    <w:p>
      <w:pPr>
        <w:spacing w:after="0" w:line="80"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are heavily dependent on the success of our product candidate, MICVO, which is in the early stages of clinical development. If MICVO is not successful in clinical trials or does not receive regulatory approval or licensure or is not successfully commercialized, our business will be materially and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date, we have invested a significant portion of our efforts and financial resources in the development of MICVO. Our future success is substantially dependent on our ability to successfully initiate and complete clinical development for, obtain regulatory licensure for, and successfully commercialize MICVO, which may never occur. We currently have no products that are approved or licensed for commercial sale and may never be able to develop a marketable product. We expect that a substantial portion of our efforts and expenditures over the next few years will be devoted to the clinical development, management of clinical and manufacturing activities, regulatory licensure, establishing commercial scale manufacturing, and significant sales, marketing, and distribution efforts related to MICVO before we can generate any revenues from any commercial sales. We cannot be certain that we will be able to successfully complete any of these activities or that, even if MICVO receives regulatory licensure, such product will be able to successfully compete against therapies and technologies offered by other companies.</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research, testing, manufacturing, labeling, licensure, sale, packaging, marketing, and distribution of biological products are subject to extensive regulation by the FDA and comparable regulatory authorities in other countries. We are not permitted to market MICVO in the U.S. until we receive licensure of a BLA or NDA from the FDA for such product candidate, as appropriate. Further, we are not permitted to market MICVO in any foreign countries until we receive the requisite licensure or approvals from such countries. We have not submitted a BLA or NDA to the FDA or comparable applications to any other comparable regulatory authorities for MICVO. We will not be in a position to do so for several years, if ever. If we are unable to obtain the necessary regulatory licensure or approvals for MICVO, our financial position will be materially adversely affected, and we may not be able to generate sufficient revenues to continue our business.</w:t>
      </w:r>
    </w:p>
    <w:p>
      <w:pPr>
        <w:spacing w:after="0" w:line="77"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Evolving regulatory expectations for oncology drug development, including with respect to dose optimization and dose selection, could require additional studies and delay or prevent approval of our product candidate.</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Regulatory expectations for oncology drug development continue to evolve. In recent years, regulatory authorities, including the U.S. Food and Drug Administration, have placed increased emphasis on dose optimization and dose selection to balance efficacy and safety. These evolving expectations may require additional dose-ranging studies, expanded clinical trial designs, or generation of additional data beyond what we currently anticipate.</w:t>
      </w:r>
    </w:p>
    <w:p>
      <w:pPr>
        <w:spacing w:after="0" w:line="6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If regulatory authorities impose additional requirements on our development program, we may incur substantial additional expense, experience delays in enrollment or completion of clinical trials, or be required to modify our development plans. Any of these outcomes could delay or prevent regulatory approval and materially adversely affect our business and prospects.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regulatory authorities, including the U.S. Food and Drug Administration, have increased their focus on dose optimization and exposure-response relationships in oncology drug development, including through initiatives such as Project Optimus. Under this evolving framework, sponsors are expected to more thoroughly evaluate multiple dose levels and justify dose selection based on a balance of efficacy and safety, rather than relying solely on maximum tolerated dose approaches. As a result, we may be required to conduct additional dose-ranging studies, modify our clinical trial designs, or generate additional clinical data to support dose selection.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product candidate may fail in development or suffer delays that materially and adversely affect its commercial viability. If we or our existing or future collaborators are unable to initiate and complete clinical development of, obtain regulatory approval or licensure for or commercialize our product candidate or experience significant delays in doing so, our business will be materially harmed.</w:t>
      </w:r>
    </w:p>
    <w:p>
      <w:pPr>
        <w:spacing w:after="0" w:line="67"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Our ability to achieve and sustain profitability depends on obtaining regulatory licensure for and successfully commercializing our product candidate, either alone or with third parties. Before obtaining regulatory licensure for the commercial distribution of our product candidate, we or an existing or future collaborator must conduct extensive preclinical studies and clinical trials to demonstrate the safety, purity and potency in humans of our product candidate. We may not have the financial resources to continue development of, or to modify existing or enter into new collaborations for, a product candidate if we experience any issues that delay or prevent regulatory licensure of, or our ability to commercialize, a product candidate, including:</w:t>
      </w:r>
    </w:p>
    <w:p>
      <w:pPr>
        <w:spacing w:after="0" w:line="60" w:lineRule="exact"/>
        <w:rPr>
          <w:sz w:val="20"/>
          <w:szCs w:val="20"/>
          <w:color w:val="auto"/>
        </w:rPr>
      </w:pPr>
    </w:p>
    <w:p>
      <w:pPr>
        <w:ind w:left="820" w:right="220" w:hanging="303"/>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preclinical studies or clinical trials leading to a decision or requirement to conduct additional preclinical studies or clinical trials or abandon a program;</w:t>
      </w:r>
    </w:p>
    <w:p>
      <w:pPr>
        <w:spacing w:after="0" w:line="53"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or by individuals using therapeutic biological products similar to our product candidate;</w:t>
      </w:r>
    </w:p>
    <w:p>
      <w:pPr>
        <w:spacing w:after="0" w:line="53" w:lineRule="exact"/>
        <w:rPr>
          <w:rFonts w:ascii="Times New Roman" w:cs="Times New Roman" w:eastAsia="Times New Roman" w:hAnsi="Times New Roman"/>
          <w:sz w:val="18"/>
          <w:szCs w:val="18"/>
          <w:color w:val="auto"/>
        </w:rPr>
      </w:pPr>
    </w:p>
    <w:p>
      <w:pPr>
        <w:ind w:left="820" w:right="200" w:hanging="303"/>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obtaining the necessary approvals from regulators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the EMA or other comparable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patients;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 during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comparable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820" w:right="60" w:hanging="303"/>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820" w:right="20" w:hanging="303"/>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the EMA and other comparable foreign regulatory authorities; or</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landscape changes around market access and pricing policies that may impact reimbursement and product sales.</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any of the foregoing circumstances occur, we could experience significant delays or an inability to successfully commercialize our product candidate, which could materially harm our business. Moreover, if we do not receive regulatory approvals, we may not be able to continue our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have no experience as a company completing a clinical trial or submitting a BLA or NDA and may be unable to successfully do so for MICVO.</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conduct of a clinical trial is a long, expensive, complicated and highly regulated process. Although certain of our employees have conducted successful clinical trials and made regulatory submissions in the past across many therapeutic areas while employed at other companies, we, as a company, have not completed any clinical trials, or submitted a BLA or NDA, and as a result may require more time and incur greater costs than we anticipate. Failure to commence or complete, or delays in, our clinical trials or planned regulatory submissions would prevent us from, or delay us in, obtaining regulatory approval of and commercializing MICVO, which would adversely impact our financial performance. Large-scale clinical trials would require significant additional financial and management resources and heavier reliance on third party clinical research organizations (CROs) and consultants. Relying on third party CROs and consultants may cause us to encounter delays or other operational issues that are outside of our control. Although our third parties are required to comply with good laboratory practice (GLP) and good clinical practice (GCP) for any studies or trials we plan to submit to a regulatory authority, and have historically complied, relying on third parties in the conduct of our preclinical studies or clinical trials exposes us to a risk that they may not adequately comply with GLP or GCP in the future. We may be unable to identify and contract with sufficient investigators, CROs and consultants on terms that are acceptable to us on a timely basis or at all.</w:t>
      </w:r>
    </w:p>
    <w:p>
      <w:pPr>
        <w:spacing w:after="0" w:line="80"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submit INDs to commence additional clinical trials on the timelines we expect and, even if we are able to, the FDA may not permit us to proceed.</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may submit additional INDs in the future. We may experience manufacturing delays or other delays with IND-enabling studies.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or that circumstances will not arise under which FDA or other regulatory authorities may place our clinical trials on partial or full clinical hold. These considerations apply to the INDs described above and also to new clinical trials we may submit as amendments to existing INDs or as part of new INDs in the future. Any failure to submit INDs on the timelines we expect or to obtain authorization to proceed with our trials may prevent us from completing our clinical trials or commercializing our products on a timely basis, if at all.</w:t>
      </w:r>
    </w:p>
    <w:p>
      <w:pPr>
        <w:spacing w:after="0" w:line="80"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preclinical studies and clinical trials may fail to demonstrate adequately the safety, purity and potency of our product candidate, which would prevent or delay development, regulatory approval or licensure and commercialization.</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Before obtaining regulatory licensure for the commercial sale of our product candidate we must demonstrate through lengthy, complex and expensive preclinical studies and clinical trials that our product candidate is safe, pure, and potent, as required under a BLA. Preclinical and clinical testing is expensive and can take many years to complete and the outcome of these activities is inherently uncertain. Failure can occur at any time during the preclinical studies and clinical trial processes and, because our product candidate is in an early stage of development, there is a high risk of failure. In addition, any failures or adverse outcomes in preclinical or clinical testing seen by other developers of a similar product candidate could materially impact the success of our program. We may never succeed in developing marketable products.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also possible that the results of preclinical studies and early clinical trials of our product candidate may not be predictive of the results of later-stage clinical trials. Although our product candidate may demonstrate promising results in preclinical studies and early clinical trials, it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a product candidate proceeding through preclinical studies and clinical trials. A product candidate in later stages of clinical trials may fail to show the desired safety, purity, and potency profile despite having progressed successfully through preclinical studies and/or initial clinical trials. Likewise, early, smaller-scale clinical trials may not be predictive of eventual safety, purity and potency in large-scale pivotal clinical trials. Many companies in the biopharmaceutical industry have suffered significant setbacks in advanced clinical trials due to lack of potency, insufficient durability of potency or unacceptable safety issues, notwithstanding promising results in earlier trials. Most product candidates that commence preclinical studies and clinical trials are never approved or licensed for commercialization. In addition, preclinical studies or clinical trials we conduct may contradict, undermine or otherwise not replicate or advance the results of the research programs and preclinical studies that were completed prior to our in-licensing or acquisition of our product candidate, which may materially and adversely affect our business, results of operations and prospects.</w:t>
      </w:r>
    </w:p>
    <w:p>
      <w:pPr>
        <w:spacing w:after="0" w:line="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our PYX-201-101 Phase 1 clinical trial is an open label study, where both the patient and investigator know whether the patient is receiving the investigational product candidate. Most typically, open label clinical trials test only the investigational product candidate and sometimes do so at different dose levels. Open-label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For instance, the FDA may also not consider open label clinical trials to be adequate and well controlled trials sufficient to support BLA licensure.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preclinical studies or clinical trials that we may conduct may not demonstrate the safety, purity, and potency necessary to obtain regulatory licensure to market our product candidate. If the results of our ongoing or future preclinical studies and clinical trials are inconclusive with respect to the safety, purity, and potency of our product candidate, if we do not meet the clinical endpoints with statistical and clinically meaningful significance or if there are safety concerns associated with our product candidate, we may be prevented or delayed in obtaining marketing licensure for the product candidate. In some instances, there can be significant variability in safety, purity, and potency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these or other side effects. If that were to occur, or if other developers of similar products were to find an unacceptable severity or prevalence of side effects with their candidates, our trials could be suspended or terminated, and the FDA or comparable foreign regulatory authorities could order us to cease further development of or deny licensure of our product candidate for any or all targeted indications. Product-related side effects could also affect patient recruitment or the ability of enrolled patients to complete an ongoing trial or result in potential product liability claims. Any of these occurrences may significantly harm our business, financial condition and prospects.</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our product candidate could cause undesirable side effects in clinical trials related to on-target toxicity. If an unacceptable safety profile is observed or if our product candidate has characteristics that are unexpected, we may need to abandon its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71"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For example, in December 2025, we announced preliminary data from our dose expansion phase of Phase 1 clinical trial of MICVO. Preliminary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is available. Differences between preliminary or interim data and final data could significantly harm our business prospects and may cause the trading price of our common stock to fluctuate significantly. This risk is heightened given the early-stage nature of our clinical data and small patient populations in ongoing studies.</w:t>
      </w:r>
    </w:p>
    <w:p>
      <w:pPr>
        <w:spacing w:after="0" w:line="82"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are parties to and may in the future enter into additional agreements with third parties under which those parties have or will be granted a license to develop product candidates discovered using our APXiMAB Platform. If any such programs are not successful or if disputes arise related to such programs, we may not realize the full commercial benefits from such programs.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APXiMAB Platform has enabled the discovery of several product candidates with potential utility in multiple therapeutic areas and has resulted in several programs that have been licensed to third parties, including larger global biopharmaceutical companies and mid-sized regional or China-focused companies. Such arrangements generally allow the licensing parties to control the amount and timing of resources that they dedicate to the development or potential commercialization of any product candidates they develop from the technology we have licensed to them, subject to any territorial or field of use restrictions in the license. Apexigen typically negotiated milestone payments and royalty fees from the licensees that will require various levels of success with their product candidate development program in order for us to generate revenue from them. Our ability to generate revenue from these licensing arrangements will depend on our counterparties’ abilities to successfully develop and commercialize the product candidates they are developing. We cannot predict the success of any licensing program that we enter into or whether such program will lead to any meaningful milestone or royalty revenue to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expend our resources to pursue a particular product candidate and fail to capitalize on product candidates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result of our limited financial and managerial resources, we must make strategic decisions as to which targets and product candidate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a potential product candidate could result in our focus on a product candidate with low market potential, which would harm our business, financial condition, results of operations and prospects. Our spending on current and future research, our product candidate and discovery programs for specific targets or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6"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market may not be receptive to MICVO because it is based on our novel therapeutic modality, and we may not generate any future revenue from the sale or licensing of this product candidate.</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Even if regulatory licensure is obtained for our product candidate, we may not gain sufficient market acceptance among physicians, patients, healthcare payors and others in the medical community. MICVO is based on the FACT Platform. Our future success depends on the successful development of this novel therapeutic approach. Additionally, the regulatory licensure process for a novel product candidate such as ours can be more expensive and take longer than for other, better-known or extensively-studied product candidates. No regulatory authority has granted licensure for any therapeutic using the FACT Platform. As a result of these factors, it is more difficult for us to predict the time and cost of product candidate development. Any development problems we experience in the future related to our program may cause significant delays or unanticipated costs or may prevent the development of a commercially viable product. Advancing our products creates significant challenges for us, including educating medical personnel regarding the potential potency and safety benefits, as well as the challenges, of incorporating our product candidate, if approved, into treatment regimens and establishing the sales and marketing capabilities to gain market acceptance, if approved.</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may prevent us from commercializing our product candidate we may develop on a timely or profitable basis, if at all.</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 acceptance of our product candidate will depend on, among other factors:</w:t>
      </w:r>
    </w:p>
    <w:p>
      <w:pPr>
        <w:spacing w:after="0" w:line="117" w:lineRule="exact"/>
        <w:rPr>
          <w:sz w:val="20"/>
          <w:szCs w:val="20"/>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licensures;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licensures and the countries in which licensures are obtained;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and potency of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or warnings contained in any labeling approved by the FDA, or other comparable foreign regulatory authorities;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 party payor reimbursement;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820" w:right="380" w:hanging="303"/>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 is intended to treat and the relative risks, benefits and costs of those treatments.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are early in our development efforts. Our lead product candidate, MICVO, is in the early stages of clinical development. The results of preclinical studies and early stage clinical trials may not be predictive of future results in later studies or trials. Initial success in clinical trials may not be indicative of results obtained when these trials are completed or in later-stage clinical trials.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 stage clinical trials that are continuing may not be predictive of the results of the later stage clinical trials. In addition, initial success in clinical trials may not be indicative of results obtained when such trials are completed on in later stage clinical trials. In particular, the small number of patients in our Phase 1 clinical trial may make the result of this trial less predictive of the outcome of later clinical trials. Moreover, preclinical and clinical data often are susceptible to varying interpretations and analyses, and many companies that have believed their product candidate performed satisfactorily in preclinical studies and clinical trials nonetheless have failed to obtain marketing licensure of their products. Our clinical trials may not ultimately be successful or support further clinical development of MICVO. There is a high failure rate for a product candidate proceeding through clinical trials. Many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76"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or our collaborators experience delays or difficulties in the enrollment of patients in our clinical trials, these clinical trials could be delayed or prevented.</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continue clinical trials for our product candidate if we are unable to locate and enroll a sufficient number of eligible patients to participate in these trials, as required by the FDA or other comparable foreign regulatory authorities. Our ability to identify sites who will enroll eligible patients for clinical trials may turn out to be limited or we may be slower in enrolling these trials than we anticipate. In addition, some of our competitors have ongoing clinical trials for product candidates that treat the same indications as our product candidate and, as a result, patients who would otherwise be eligible for our clinical trials may instead elect to enroll in clinical trials of our competitors’ product candidates. Patient enrollment in clinical trials is also affected by other factors including:</w:t>
      </w:r>
    </w:p>
    <w:p>
      <w:pPr>
        <w:spacing w:after="0" w:line="79" w:lineRule="exact"/>
        <w:rPr>
          <w:sz w:val="20"/>
          <w:szCs w:val="20"/>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competing clinical trials or approved therapies which present an attractive alternative to patients and their physicians;</w:t>
      </w:r>
    </w:p>
    <w:p>
      <w:pPr>
        <w:spacing w:after="0" w:line="117" w:lineRule="exact"/>
        <w:rPr>
          <w:rFonts w:ascii="Times New Roman" w:cs="Times New Roman" w:eastAsia="Times New Roman" w:hAnsi="Times New Roman"/>
          <w:sz w:val="18"/>
          <w:szCs w:val="18"/>
          <w:color w:val="auto"/>
        </w:rPr>
      </w:pPr>
    </w:p>
    <w:p>
      <w:pPr>
        <w:ind w:left="820" w:right="180" w:hanging="303"/>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as a result of adverse effects observed in similar or competing therapies;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820" w:right="860" w:hanging="303"/>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the scope and invasiveness of required procedures under clinical trial protocols, some of which may be inconvenient and/or uncomfortable;</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high number of patients fail during screening or enrolled patients will drop out or die before completion of the trial;</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clinical trial or returning for post-treatment follow-up;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requisite materials for a patient and clinical trial.</w:t>
      </w:r>
    </w:p>
    <w:p>
      <w:pPr>
        <w:spacing w:after="0" w:line="11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or our collaborators inability to timely enroll a sufficient number of patients for our clinical trials, based on the above factors or others, could result in significant delays and could require us to abandon one or more clinical trials altogether. Enrollment delays in our clinical trials may result in increased development costs for our product candidate, which would cause the value of our company to decline and limit our ability to obtain additional financing.</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7" w:name="page38"/>
    <w:bookmarkEnd w:id="37"/>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 may cause undesirable and unforeseen side effects or have other properties impacting safety that could halt its clinical development, delay or prevent its regulatory licensure, limit its commercial potential or result in significant negative consequences.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 could cause regulatory authorities to interrupt, delay or halt clinical trials and could result in a more restrictive label or the delay or denial of regulatory licensure or approval by the FDA or other regulatory authorities. As is the case with oncology drugs,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licensure or approval of our product candidate for any or all targeted indications. Such side effects could also affect patient recruitment or the ability of enrolled patients to complete the trial or result in potential product liability claims. Any of these occurrences may materially and adversely affect our business, financial condition, results of operations and prospects.</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product candidate may only be uncovered with a significantly larger number of patients exposed to the product candidate.</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our product candidate receives regulatory licensure or approval and we or others later identify undesirable side effects, any of the following adverse events could occur, which could result in significant negative consequences:</w:t>
      </w:r>
    </w:p>
    <w:p>
      <w:pPr>
        <w:spacing w:after="0" w:line="54" w:lineRule="exact"/>
        <w:rPr>
          <w:sz w:val="20"/>
          <w:szCs w:val="20"/>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licensure or approval of the product or seize the product;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or change the way the product is administered to patients;</w:t>
      </w:r>
    </w:p>
    <w:p>
      <w:pPr>
        <w:spacing w:after="0" w:line="117" w:lineRule="exact"/>
        <w:rPr>
          <w:rFonts w:ascii="Times New Roman" w:cs="Times New Roman" w:eastAsia="Times New Roman" w:hAnsi="Times New Roman"/>
          <w:sz w:val="18"/>
          <w:szCs w:val="18"/>
          <w:color w:val="auto"/>
        </w:rPr>
      </w:pPr>
    </w:p>
    <w:p>
      <w:pPr>
        <w:ind w:left="820" w:right="660" w:hanging="303"/>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3"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achieve our projected development goals in the timeframes we announce and expect, the commercialization of our products may be delayed and, as a result, our stock price may decline.</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and may be associated with payments from collaborators. From time to time, we may publicly announce the expected timing of some of these milestones. All of these milestones are and will be based on numerous assumptions. The actual timing of these milestones may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77"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face significant competition from other oncology-focused biotechnology and pharmaceutical entities, and our operating results will suffer if we fail to compete effectively.</w:t>
      </w:r>
    </w:p>
    <w:p>
      <w:pPr>
        <w:spacing w:after="0" w:line="5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therapeutic biological products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 Competitive therapeutic treatments include those that have already been approved or licensed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a product candidate. The biotechnology and pharmaceutical industries, including the oncology subsector, are characterized by rapidly evolving technologies, intense competition and strong defense of intellectual property and proprietary technologies. Any product candidate that we successfully commercialize may be competitive with currently marketed therapies and any new therapies commercialized in the future.</w:t>
      </w:r>
    </w:p>
    <w:p>
      <w:pPr>
        <w:spacing w:after="0" w:line="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aware of several companies that are developing cancer immunotherapies and ADCs. Many of these companies are well-capitalized and, in contrast to us, have significant clinical experience, and may include our existing or future collaborators. In addition, these companies compete with us in recruiting scientific and managerial talent and the patient pool available for participation in clinical trials which could negatively impact our ability to execute our business plan.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8" w:name="page39"/>
    <w:bookmarkEnd w:id="38"/>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success will partially depend on our ability to develop and protect therapeutics that are more safe, pure, and potent than competing products. Our commercial opportunity and success will be reduced or eliminated if competing products that are safer, more effective, or less expensive than the therapeutics we develop are commercialized.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our product candidate is licensed, it will compete with a range of therapeutic treatments that are either in development or currently marketed.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companies are active across various stages of development in the oncology subsector and are marketing and developing products that employ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ADC and immunotherapy approaches.</w:t>
      </w:r>
    </w:p>
    <w:p>
      <w:pPr>
        <w:spacing w:after="0" w:line="99"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As of February 2026, there were approximately 900+ ADCs in clinical or preclinical development worldwide, of which the vast majority are being developed for the treatment of various cancer indications. Additionally, there are several large and small companies working on various immunotherapy approaches for treatment of cancer. Multiple companies are also involved in the development of ADC therapeutics and immunotherapies, including, but not limited to, AbbVie Inc., Abcure, Inc., ADC Therapeutics SA, Alligator Bioscience AB, Astellas Pharma, Inc., AstraZeneca plc, Celldex Therapeutics, Inc., Daiichi Sankyo Company, Ltd., Eucure Biopharma, a subsidiary of Biocytogen, Genentech, Inc., Gilead Sciences, Inc, GlaxoSmithKline, plc, Johnson &amp; Johnson, Lyvgen Biopharma, Nextcure, Inc., Pfizer, Philogen S.p.A., Merck Sharpe &amp; Dohme (MSD), Corbus Pharmaceuticals, and Rakuten Medical, Inc.</w:t>
      </w:r>
    </w:p>
    <w:p>
      <w:pPr>
        <w:spacing w:after="0" w:line="6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could also face competition with respect to specific targets, including the target of our ADC, MICVO, EDB+FN, by Philogen S.p.A., a Swiss based Biotechnology company, focused on generating antibody-cytokine fusions (immunocytokines) against cancers, using the L19 antibody specific to the EDB domain of Fibronectin fused to TNF, a potent inflammatory cytokine, which could pursue similar indications targeting EDB and stand out as the first non-ADC therapy pursuing EDB+FN.</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other emerging agents in key indications of interest including R/M HNSCC. Genmab’s EGFR and LGR5 targeting biclonal, petosemtamab, Bicara’s EGFR/TGF-beta targeting bifunctional, ficerafusp alfa (BCA101), and Johnson and Johnson’s EGFR and cMET bispecific antibody, amivantamab, are notable competitors that are targeting patient populations of interest to MICVO and pose a potentially significant threat to our clinical development strategy. Additionally, Corbus Pharmaceutical’s nectin-4 targeting ADC, CRB-701 has shown preliminary efficacy data and is a direct competitor given similarity in payload (MMAE) to MICVO, and comparable patient populations and clinical development timelines in R/M HNSCC.</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Other competitors may also include agents targeting specific segments such as HPV+ HNSCC, namely NeoTrail Therapeutics (formerly Hookipa)’s and PDS Biotech’s vaccines and agents such as Nanobiotix’s radioenhancer that may be used earlier in the treatment sequence. With the approval of pembrolizumab in the peri-operative setting based on Keynote-689, use of IO in the neoadjuvant and adjuvant settings may shift how HPV patients are treated in earlier lines of therapy. The implementation of using IO in the earlier disease settings could impact patient segmentation and treatment choices in the R/M setting.</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Furthermore, ADCs such as Gilead’s TROP-2 ADC, sacituzumab govitecan, Pfizer’s Nectin-4 targeting ADC, enfortumab vedotin and AZ’s AZD9592, a dual targeting ADC against EGFR and cMET are in clinical development in HNSCC. Enfortumab vedotin is currently pursuing a 1L HNSCC trial in combination with pembrolizumab thus adding to the crowded landscape of combo studies in the frontline setting. Additional competition may arise from other combination regimens being evaluated including but not limited to ficlatuzumab + cetuximab (2L), ivonescimab + ligufalimab (1L, CPS&gt;1) and LN-145 + pembrolizumab (1L). Additionally, there is a wide array of activity in the development of immunotherapies for oncology which may be competitive with our preclinical discovery programs. Furthermore, if our product candidate is approved in oncology indications such as breast cancer, hematological and other cancers, they may compete with existing approaches to treating cancer including surgery, radiation, and drug therapy, including conventional chemotherapy, biological products, and targeted drug small molecule therapies.</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Many of our competitors have significantly greater scientific, research and development capabilities, as well as greater financial, technical, manufacturing, marketing, sales and supply resources or experience than we do. Competitive products may make any products we develop obsolete owing to treatment paradigm shifts or noncompetitive, reducing the addressable market before we recover the expense of developing and commercializing our product candidate. Such competitors could also recruit our employees, which could negatively impact our level of expertise and our ability to execute our business plan.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17" w:lineRule="exact"/>
        <w:rPr>
          <w:sz w:val="20"/>
          <w:szCs w:val="20"/>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therapeutics that are more effective and safer than competing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with rapidly evolving technologies;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with which our products can be administered and the extent to which patients accept relatively new routes of administration;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licenses for these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 and whether coverage and adequate levels of reimbursement are available under health insurance plans;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any abbreviated licensure pathways;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820" w:right="180" w:hanging="303"/>
        <w:spacing w:after="0" w:line="282"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we are granted market exclusivity for any product candidate we may develop that is licensed as a biological product under a Biologics License Application (BLA).</w:t>
      </w:r>
    </w:p>
    <w:p>
      <w:pPr>
        <w:spacing w:after="0" w:line="50"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to be exposed to significant product liability risks inherent in the development, testing and manufacturing of our product candidate and products, if approved. Product liability claims could delay or prevent completion of product candidate development programs. If we succeed in marketing products, such claims could result in an FDA investigation of the safety and effectiveness of our products, our third party manufacturer’s processes and facilities or our marketing programs and potentially a recall of our products or more serious enforcement action, including limitations on the approved indications for which our product candidate may be used or suspension or withdrawal of licenses.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In addition, we may be subject to liability based on the actions of our existing or future collaborators in connection with their development of products using the FACT Platform or the APXiMAB Platform.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Regulatory Licensure or Approval and Other Legal Compliance Matters</w:t>
      </w:r>
    </w:p>
    <w:p>
      <w:pPr>
        <w:spacing w:after="0" w:line="117"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The regulatory licensure and approval processes of the FDA and other comparable foreign regulatory authorities are lengthy, time-consuming and inherently unpredictable and, if we are unable to obtain marketing licensure or approval for our product candidate, our business will be substantially harmed.</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or licensure by the FDA and other comparable foreign regulatory authorities is unpredictable but typically takes many years following the commencement of clinical trials and depends upon numerous factors, including the substantial discretion of the regulatory authorities. In addition, approval and licensure policies, regulations or the type and amount of clinical data necessary to gain approval or licensure may change during the course of a product candidate’s clinical development and may vary among jurisdictions. We have not obtained marketing approval or licensure for any product candidate, and it is possible that our existing product candidate, or any product candidate we may seek to develop in the future, will never obtain marketing approval or licensure.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 could fail to receive marketing licensure in the U.S. for many reasons, including the following:</w:t>
      </w:r>
    </w:p>
    <w:p>
      <w:pPr>
        <w:spacing w:after="0" w:line="117" w:lineRule="exact"/>
        <w:rPr>
          <w:sz w:val="20"/>
          <w:szCs w:val="20"/>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the product candidate is safe, pure, and potent;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may not meet the level of statistical significance required by the FDA for licensure;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820" w:right="600" w:hanging="303"/>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product candidate may not be sufficient to support the submission of a BLA to the FDA or other submission or to obtain marketing licensure in the U.S.;</w:t>
      </w:r>
    </w:p>
    <w:p>
      <w:pPr>
        <w:spacing w:after="0" w:line="53" w:lineRule="exact"/>
        <w:rPr>
          <w:rFonts w:ascii="Times New Roman" w:cs="Times New Roman" w:eastAsia="Times New Roman" w:hAnsi="Times New Roman"/>
          <w:sz w:val="18"/>
          <w:szCs w:val="18"/>
          <w:color w:val="auto"/>
        </w:rPr>
      </w:pPr>
    </w:p>
    <w:p>
      <w:pPr>
        <w:ind w:left="820" w:right="420" w:hanging="303"/>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 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licensure policies or regulations of the FDA may significantly change in a manner rendering our clinical data insufficient for licensure.</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This lengthy licensure process as well as the unpredictability of future clinical trial results may result in our failing to obtain regulatory licensure to market our product candidate, which would significantly harm our business, results of operations, financial condition and prospects. The FDA has substantial discretion in the licensure process and determining when or whether regulatory licensure will be obtained for our product candidate. Even if we believe the preliminary data collected from clinical trials of our product candidate is promising, such preliminary data may not be sufficient to support licensure by the FDA.</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even if we were to obtain licensure, regulatory authorities may approve our product candidate for fewer or more limited indications than we request, may grant a license contingent on the performance of costly post-marketing clinical trials, or may approve or license a product candidate with a label that does not include the labeling claims necessary or desirable for the successful commercialization of that product candidate. Any of the foregoing scenarios could materially harm the commercial prospects for our product candidate.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4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Even if we receive regulatory licensure of our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w:t>
      </w:r>
    </w:p>
    <w:p>
      <w:pPr>
        <w:spacing w:after="0" w:line="6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 is licensed or approved by regulatory authorities, they will be subject to ongoing regulatory requirements for manufacturing, labeling, packaging, storage, advertising, promotion, sampling, record-keeping, conduct of post-marketing studies, track and trace, serialization, post-market adverse event reporting, and submission of safety, purity, potency, efficacy and other post-market information, including both federal and state requirements in the United States and requirements of comparable foreign regulatory authorities.</w:t>
      </w:r>
    </w:p>
    <w:p>
      <w:pPr>
        <w:spacing w:after="0" w:line="7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Risk Evaluation and Mitigation Strategies (REMS), if not already established in pre-approval, or similar strategy, impose significant restrictions on its indicated uses or marketing, or impose ongoing requirements for potentially costly post approval studies or post-market surveillance.</w:t>
      </w:r>
    </w:p>
    <w:p>
      <w:pPr>
        <w:spacing w:after="0" w:line="72" w:lineRule="exact"/>
        <w:rPr>
          <w:sz w:val="20"/>
          <w:szCs w:val="20"/>
          <w:color w:val="auto"/>
        </w:rPr>
      </w:pPr>
    </w:p>
    <w:p>
      <w:pPr>
        <w:jc w:val="both"/>
        <w:ind w:right="600" w:firstLine="509"/>
        <w:spacing w:after="0" w:line="312" w:lineRule="auto"/>
        <w:rPr>
          <w:sz w:val="20"/>
          <w:szCs w:val="20"/>
          <w:color w:val="auto"/>
        </w:rPr>
      </w:pPr>
      <w:r>
        <w:rPr>
          <w:rFonts w:ascii="Times New Roman" w:cs="Times New Roman" w:eastAsia="Times New Roman" w:hAnsi="Times New Roman"/>
          <w:sz w:val="17"/>
          <w:szCs w:val="17"/>
          <w:color w:val="auto"/>
        </w:rPr>
        <w:t>The FDA and comparable foreign regulatory authorities may conduct periodic inspections for compliance with regulatory requirements and standards. Later discovery of previously unknown problems with our product candidate, may result in consequences including, among other things:</w:t>
      </w:r>
    </w:p>
    <w:p>
      <w:pPr>
        <w:spacing w:after="0" w:line="32" w:lineRule="exact"/>
        <w:rPr>
          <w:sz w:val="20"/>
          <w:szCs w:val="20"/>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of a product;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820" w:right="220" w:hanging="303"/>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and comparable foreign regulatory authorities to approve pending applications or supplements to approved applications filed by us or suspension or revocation of licenses;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and any collaborators, must comply with requirements concerning advertising and promotion for our product candidate for which we or they obtain marketing licensure. Promotional communications with respect to prescription biological products are subject to a variety of legal and regulatory restrictions and must be consistent with the information in the product’s approved labeling. Thus, we, and any collaborators, will not be able to promote any products we develop for indications or uses for which the biological product is not licensed.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1" w:name="page42"/>
    <w:bookmarkEnd w:id="41"/>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If we decide to seek additional Breakthrough Therapy Designation and/or Fast Track Designation by the FDA, even if granted for any of our product candidate, may not lead to a faster development or regulatory review or licensure process and it does not increase the likelihood that our product candidate will receive marketing licensure.</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seek additional Breakthrough Therapy Designation and/or Fast Track Designation for our product candidate. For example, in February 2025, the FDA granted Fast Track Designation for use of MICVO in the treatment of adult patients with R/M HNSCC whose disease has progressed following treatment with platinum-based chemotherapy and an anti-PD-(L)1 antibody. The FDA may withdraw the Fast Track Designation if the clinical development program no longer meets the criteria for Fast Track Designation. There is no assurance that the FDA will grant these designations to any of our current or future product candidates. A Breakthrough Therapy is defined as a drug that is intended, alone or in combination with one or more other drugs or biological products, to treat a serious or life-threatening disease or condition and for which preliminary clinical evidence indicates that the drug or biological products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 and Priority Review, if they meet regulatory requirements for those other programs.</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Marketing applications submitted by sponsors of products in Fast Track development may qualify for Priority Review under the policies and procedures offered by the FDA, but the Fast Track Designation does not assure any such qualification. The FDA may withdraw any Fast Track Designation at any time.</w:t>
      </w:r>
    </w:p>
    <w:p>
      <w:pPr>
        <w:spacing w:after="0" w:line="68"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any event, the receipt of a Breakthrough Therapy Designation and/or Fast Track Designation for a product candidate may not result in a faster development process, review or licensure compared to standard review and do not assure ultimate licensure by the FDA. In addition, even if our product candidate qualifies as a Breakthrough Therapy, the FDA may later decide that the product no longer meets the conditions for qualification. Additionally, the FDA may withdraw Fast Track Designation if it believes that the designation is no longer supported by data from our clinical development program. The FDA may withdraw any Fast Track Designation at any time.</w:t>
      </w:r>
    </w:p>
    <w:p>
      <w:pPr>
        <w:spacing w:after="0" w:line="71"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5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current or future product candidates. For example, in May 2023, the FDA granted Orphan Drug Designation for MICVO in pancreatic cancer. Regulatory authorities in some jurisdictions, including the U.S. and Europe,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200,000 in the U.S., or a patient population greater than 200,000 in the U.S. when there is no reasonable expectation that the cost of developing and making available the drug in the U.S. will be recovered from sales in the U.S. for that drug or biological product. In the U.S.,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or licensure for a particular active ingredient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our product candidate receives orphan exclusivity, the FDA can still approve or license other drugs or biological products that have a different active ingredient for use in treating the same indication or disease. Further, the FDA can waive orphan exclusivity if we are unable to manufacture sufficient supply of our product.</w:t>
      </w:r>
    </w:p>
    <w:p>
      <w:pPr>
        <w:spacing w:after="0" w:line="84"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our product candidate in additional orphan indications in which there is a medically plausible basis for the use of this product candidate. Even if we obtain Orphan Drug Designation, exclusive marketing rights in the U.S.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w:t>
      </w:r>
    </w:p>
    <w:p>
      <w:pPr>
        <w:spacing w:after="0" w:line="7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It is also possible that current or future litigation or action by Congress could change the scope of available orphan exclusivity. Any changes to the orphan drug provisions could change our opportunities for, or likelihood of success in obtaining, orphan drug exclusivity and would materially adversely affect our business, financial condition, results of operations, cash flows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Accelerated Approval by the FDA, even if granted, may not lead to a faster development or regulatory review or approval process and it does not increase the likelihood that our product candidate will receive marketing licensure. If not granted, we may be required to conduct additional non-clinical and clinical studies and trials beyond those that we currently contemplate. Even if we receive Accelerated Approval, if our confirmatory post-marketing trial does not verify clinical benefit, or if we do not comply with rigorous post-marketing requirements, the FDA may seek to withdraw Accelerated Approval.</w:t>
      </w:r>
    </w:p>
    <w:p>
      <w:pPr>
        <w:spacing w:after="0" w:line="75"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We plan to seek Accelerated Approval of MICVO and may seek approval of future product candidates through the FDA’s Accelerated Approval Program. For any licensure to market a biological product, we must provide the FDA and comparable foreign regulatory authorities with clinical data that adequately demonstrate the safety, purity, and potency of the product for the indication applied for in the NDA or BLA or other respective regulatory filings. The Accelerated Approval Program is one of several approaches used by the FDA to make prescription drugs or biological products more rapidly available for the treatment of serious or life-threatening diseases. Section 506(c) of the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Licensure through the Accelerated Approval Program is subject, however, to the requirement that a sponsor perform adequate and well controlled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biological products provide a clinically meaningful positive therapeutic effect, that is, an effect on how a patient feels, functions, or survives. If required, these confirmatory trials must be underway prior to Accelerated Approval, pursuant to the Food and Drug Omnibus Reform Act of 2022 (FDORA) enacted in 2022 and under FDA’s draft guidance on “Accelerated Approval and Considerations for Determining Whether a Confirmatory Trial is Underway” made available in January 2025. In addition, Section 506(c) of the FDCA provides FDA authority to impose specific conditions on Accelerated Approval, including requiring post-approval study(ies) to verify and describe clinical benefit, and requiring submission of promotional materials during the pre-approval review period and, following approval and for such period thereafter as FDA determines appropriate, at least 30 days prior to dissemination. The statute also requires FDA, by no later than the date of Accelerated Approval, to specify conditions for required post-approval studies, which may include enrolment targets, protocol, and milestones (including a target completion date), and FDA may require such studies to be underway prior to approval or within a specified time period after approval. If such confirmatory post-marketing trials fail to confirm the product’s clinical profile or risks and benefits, or if we fail to conduct any required confirmatory trial with due diligence, or other evidence shows the product is not safe and effective under the conditions of use, the FDA may withdraw Accelerated Approval of the product.</w:t>
      </w:r>
    </w:p>
    <w:p>
      <w:pPr>
        <w:spacing w:after="0" w:line="9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has broad discretion with regard to licensure through the Accelerated Approval Program and even if we believe that the Accelerated Approval Program is appropriate for one of our products, we cannot assure you that the FDA will ultimately agree. The FDA may also change its policies with respect to over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The draft guidance, while not finalized, included statements where the FDA acknowledged that historically, single-arm trial designs and response endpoints have most commonly been used in oncology, but noted that such trials have limitations. Furthermore, even if we do obtain licensure through the Accelerated Approval Program, we may not experience a faster development process, review, or licensure compared to conventional FDA procedures.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the FDA reviews a BLA seeking Accelerated Approval, there can be no assurance that licensure will be granted on a timely basis, or at all. The FDA may disagree that the design of, or results from, our studies support Accelerated Approval. Additionally, the FDA could require us to conduct further studies or trials prior to granting licensure of any type, including by determining that licensure through the Accelerated Approval Program is not appropriate and that our clinical trials may not be used to support licensure through the conventional pathway. We might not be able to fulfill the FDA’s requirements in a timely manner, which would cause delays, or licensure might not be granted because our submission is deemed incomplete by the FDA. There also can be no assurance that after subsequent FDA feedback we will continue to pursue licensure through the Accelerated Approval Program. A failure to obtain licensure through the Accelerated Approval Program could result in a longer time period to obtain licensure of our products, could increase the cost of our products’ development, could delay our ability to commercialize our products and could significantly harm our financial position and competitive position in the marketplace.</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Even if we receive licensure for one of our products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These requirements could adversely impact the timing of the commercial launch of the product. Even if we do receive Accelerated Approval, we may not experience a faster development or regulatory review or licensure process. Further, receiving Accelerated Approval does not provide assurance of ultimate full FDA licensure.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FDA could seek to withdraw Accelerated Approval for multiple reasons, including if we fail to conduct any required confirmatory post-marketing trial with due diligence, our confirmatory post-marketing trial does not confirm the predicted clinical benefit, other evidence shows that the product is not safe, pure, or potent under the conditions of use, or we disseminate promotional materials that are found by the FDA to be false and misleading. Further description of the expedited withdrawal process was released by the FDA in the recent draft guidance </w:t>
      </w:r>
      <w:r>
        <w:rPr>
          <w:rFonts w:ascii="Times New Roman" w:cs="Times New Roman" w:eastAsia="Times New Roman" w:hAnsi="Times New Roman"/>
          <w:sz w:val="18"/>
          <w:szCs w:val="18"/>
          <w:i w:val="1"/>
          <w:iCs w:val="1"/>
          <w:color w:val="auto"/>
        </w:rPr>
        <w:t>Expedited Program for Serious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Conditions – Accelerated Approval of Drugs and Biologics </w:t>
      </w:r>
      <w:r>
        <w:rPr>
          <w:rFonts w:ascii="Times New Roman" w:cs="Times New Roman" w:eastAsia="Times New Roman" w:hAnsi="Times New Roman"/>
          <w:sz w:val="18"/>
          <w:szCs w:val="18"/>
          <w:color w:val="auto"/>
        </w:rPr>
        <w:t>(December 2024).</w:t>
      </w:r>
    </w:p>
    <w:p>
      <w:pPr>
        <w:spacing w:after="0" w:line="7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 approval studies for products that receive Accelerated Approval, which may include enrollment targets and milestones, including the target date for study completion, by the time the drug is approved. The FDA may also require post approval studies to be underway at the time of Accelerated Approval or within a specified time period following Accelerated Approval for such drugs, and must explain any instances where it does not require such studies. FDA’s January 2025 draft guidance on </w:t>
      </w:r>
      <w:r>
        <w:rPr>
          <w:rFonts w:ascii="Times New Roman" w:cs="Times New Roman" w:eastAsia="Times New Roman" w:hAnsi="Times New Roman"/>
          <w:sz w:val="18"/>
          <w:szCs w:val="18"/>
          <w:i w:val="1"/>
          <w:iCs w:val="1"/>
          <w:color w:val="auto"/>
        </w:rPr>
        <w:t>Accelerated Approval and Considerations for Determining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Whether a Confirmatory Trial is Underway</w:t>
      </w:r>
      <w:r>
        <w:rPr>
          <w:rFonts w:ascii="Times New Roman" w:cs="Times New Roman" w:eastAsia="Times New Roman" w:hAnsi="Times New Roman"/>
          <w:sz w:val="18"/>
          <w:szCs w:val="18"/>
          <w:color w:val="auto"/>
        </w:rPr>
        <w:t>, while not finalized, suggests that FDA generally intends to consider a confirmatory trial to be "underway"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Accelerated Approval if (1) the trial has a target completion date that is consistent with diligent and timely conduct of the trial, considering the nature of the trial’s design and objectives, (2) the sponsor’s progress and plans for post approval conduct of the trial provide sufficient assurance to expect timely completion of the trial, and (3) enrollment of the confirmatory trial has been initiated.</w:t>
      </w:r>
    </w:p>
    <w:p>
      <w:pPr>
        <w:spacing w:after="0" w:line="8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Any delay in obtaining, or inability to obtain, licensure through the Accelerated Approval Program, or any issues in maintaining approval granted under the Accelerated Approval Program, would delay or prevent commercialization of our products, and would materially adversely affect our business, financial condition, results of operations, cash flows and prospects.</w:t>
      </w:r>
    </w:p>
    <w:p>
      <w:pPr>
        <w:spacing w:after="0" w:line="64"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If foreign regulatory authorities approve biosimilar versions of our product candidate that receive marketing approval, or such authorities do not grant our product candidate appropriate periods of data or market exclusivity before approving generic versions of our product candidate, the sales of our product candidate could be adversely affected.</w:t>
      </w:r>
    </w:p>
    <w:p>
      <w:pPr>
        <w:spacing w:after="0" w:line="6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the EU and the UK, innovative medicinal products are authorized based on a full marketing authorization application and conditional authorization (as opposed to an application for marketing authorization that relies on data in the marketing authorization dossier for another, previously approved medicinal product). Applications for marketing authorization for innovative medicinal products must contain,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results of pharmaceutical tests, preclinical tests and clinical trials conducted with the medicinal product for which marketing authorization is sought.</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marketing authorization can be obtained via the centralized procedure or the national procedure. The centralized procedure results in a single marketing authorization, issued by the European Commission (based on the opinion of the EMA), which is valid across the entire European Economic Area (EEA) which comprises the EU, Iceland, Liechtenstein and Norway. The centralized procedure is compulsory for human drugs that are (i) derived from biotechnology processes, such as genetic engineering; (ii) contain a new active substance indicated for the treatment of certain diseases, such as HIV/AIDS, cancer, diabetes, neurodegenerative diseases, autoimmune and other immune dysfunctions and viral diseases; (iii) designated orphan medicines; and (iv) advanced-therapy medicines, such as gene therapy, somatic cell therapy or tissue-engineered medicines. The centralized procedure may at the request of the applicant also be used in certain other cases. The centralized procedure would be mandatory for the product candidate we are developing.</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reference product candidates may receive eight years of data exclusivity and an additional two years of market exclusivity, upon grant of the marketing authorization. If granted, during the data exclusivity period, applicants for approval of biosimilars cannot rely on data contained in the marketing authorization dossier submitted for the already authorized, or reference product candidate, to support their application. The market exclusivity period prevents a successful biosimilar applicant from commercializing its product in the EU until 10 years have elapsed from the initial marketing authorization of the reference product in the EU, but a biosimilar marketing authorization application can be submitted during this time. The overall 10-year market exclusivity period can further be extended by one more year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data and market exclusivity, provided that no other intellectual property or regulatory exclusivities apply,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testing or clinical trials must be provided, and guidelines from the EMA detail the type of quantity of supplementary data to be provided for different types of biological products. There are currently no such guidelines for complex biological products such as gene or cell therapy medicinal products, and so in the short term it is unlikely that biosimilars of those products will be approved in the EU. However, guidance from the EMA states that they will be considered in the future in light of the scientific knowledge and regulatory experience gained at the time.</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EU, the criteria for designating an “orphan medicinal product” are similar in principle to those in the U.S.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marketing authorization application. Orphan Drug Designations entitle a party to financial incentives such as reduction of fees or fee waivers and are, upon grant of a marketing authorization, entitled to 10 years of market exclusivity. During the 10-year market exclusivity period, the EMA cannot accept another marketing authorization application, or grant a marketing authorization or accept an application to extend an existing marketing authorization, for the same therapeutic indication, in respect of a similar medicinal product. Orphan Drug Designation does not convey any advantage in, or shorten the duration of, the regulatory review and approval process.</w:t>
      </w:r>
    </w:p>
    <w:p>
      <w:pPr>
        <w:spacing w:after="0" w:line="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Drug Designation, for example, if the product is sufficiently profitable not to justify maintenance of market exclusivity. At any time, a marketing authorization may be granted to a similar product for the same indication if:</w:t>
      </w:r>
    </w:p>
    <w:p>
      <w:pPr>
        <w:spacing w:after="0" w:line="68" w:lineRule="exact"/>
        <w:rPr>
          <w:sz w:val="20"/>
          <w:szCs w:val="20"/>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has given his consent to the second applicant; or</w:t>
      </w:r>
    </w:p>
    <w:p>
      <w:pPr>
        <w:spacing w:after="0" w:line="117" w:lineRule="exact"/>
        <w:rPr>
          <w:rFonts w:ascii="Times New Roman" w:cs="Times New Roman" w:eastAsia="Times New Roman" w:hAnsi="Times New Roman"/>
          <w:sz w:val="18"/>
          <w:szCs w:val="18"/>
          <w:color w:val="auto"/>
        </w:rPr>
      </w:pPr>
    </w:p>
    <w:p>
      <w:pPr>
        <w:ind w:left="820" w:right="360" w:hanging="303"/>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is unable to supply sufficient quantities of the medicinal product.</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Although the UK has left the EU, its regulatory legal framework provides for similar periods of protection (namely regulatory data exclusivity, marketing protection and market exclusivity).</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Competition that our product candidate may face from biosimilar versions of our product candidate could materially and adversely impact our future revenue, profitability and cash flows and substantially limit our ability to obtain a return on the investments we have made in the product candidate. Our future revenues, profitability and cash flows could also be materially and adversely affected and our ability to obtain a return on the investments we have made in this product candidate may be substantially limited if our product candidate, if and when approved, are not afforded the appropriate period of non-patent exclusivity.</w:t>
      </w:r>
    </w:p>
    <w:p>
      <w:pPr>
        <w:spacing w:after="0" w:line="71"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obtain regulatory approval in international jurisdictions would prevent us from marketing our product candidate outside the U.S. and the sales of our product candidate could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 candidate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In addition, in many countries outside the U.S.,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 in certain countries. Further, clinical trials conducted in one country may not be accepted by regulatory authorities in other countries and regulatory approval in one country does not ensure approval in any other country. Our failure to obtain approval of our product candidate by foreign regulatory authorities may negatively impact the commercial prospects of such product candidate and our business prospects could decline.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The failure to obtain required regulatory clearances or approvals for any companion diagnostic tests that we may pursue may prevent or delay approval of our product candidate. Moreover, the commercial success of a product candidate that requires a companion diagnostic will be tied to the receipt of any required regulatory clearances or approvals and the continued availability of such tests.</w:t>
      </w:r>
    </w:p>
    <w:p>
      <w:pPr>
        <w:spacing w:after="0" w:line="67"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We may seek to identify patient subsets within a disease category that may derive selective and meaningful benefit from the product candidate we are developing. Through collaborations or license agreements, companion diagnostics may help us to more accurately identify patients within a particular subset, both during our clinical trials and in connection with the commercialization of our product candidate, if approved. In connection with the clinical development of our product candidate for certain indications, we may work with collaborators to develop or obtain access to companion diagnostic tests to identify appropriate patients for our product candidate. We may rely on third parties for the development, testing and manufacturing of these companion diagnostics, the application for and receipt of any required regulatory clearances or approvals, and the commercial supply of these companion diagnostics. Companion diagnostics are subject to regulation by the FDA and comparable foreign regulatory authorities as a medical device and may require separate regulatory authorization prior to commercialization. The FDA and foreign regulatory authorities regulate companion diagnostics as medical devices that will likely be subject to clinical trials in conjunction with the clinical trials for a product candidate, and which will require separate regulatory clearance or approval prior to commercialization. This process could include additional meetings with health authorities, such as a pre-submission meeting and the requirement to submit an investigational device exemption (IDE). In the case of a companion diagnostic that is designated as “significant risk device,” approval of an IDE by the FDA and an IRB is required before such diagnostic is used in conjunction with the clinical trials for a corresponding product candidate. We or our third party collaborators may fail to obtain the required regulatory clearances or approvals, which could prevent or delay approval of our product candidate. In addition, the commercial success of our product candidate that requires a companion diagnostic will be tied to and dependent upon the receipt of required regulatory clearances or approvals and the continued ability of such third parties to make the companion diagnostic commercially available to us on reasonable terms in the relevant geographies.</w:t>
      </w:r>
    </w:p>
    <w:p>
      <w:pPr>
        <w:spacing w:after="0" w:line="83"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physicians and third party payors are subject, directly or indirectly, to federal and state healthcare fraud and abuse laws, false claims laws, and other healthcare laws and regulations. If we are unable to comply or have not fully complied with these laws, we could face substantial penalties.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 party payors in the U.S. and elsewhere will play a primary role in the recommendation and prescription of any product candidate for which we obtain marketing licensure. Our current and future arrangements with healthcare professionals, principal investigators, consultants, customers, drug wholesalers/distributors, pharmacy benefit managers, and third party payors subject us to various federal and state fraud and abuse laws and other healthcare laws that may constrain the business or financial arrangements and relationships through which we research, develop, sell, market and distribute our product candidate, if we obtain marketing licensure. In particular, the research of our product candidate,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will likely be costly.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and/or the curtailment or restructuring of our operations.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 from government-funded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Even if we commercialize our product candidate, it or any other product candidate that we develop, may become subject to unfavorable pricing regulations or third party coverage or reimbursement practices, which could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licensure. Our ability to successfully commercialize our product candidate will depend, in part, on the extent to which coverage and adequate reimbursement for any products for which we obtain marketing authorization will be available from third party payors, including government health care programs, managed care providers, private health insurers, health maintenance organizations and other organizations. In the U.S., no uniform policy for coverage and reimbursement for pharmaceutical products exists among third party payors. Third party payors decide which medications they will pay for and establish reimbursement levels; therefore, coverage and reimbursement for our product candidate for which we may obtain marketing authorization could differ significantly from payor to payor. One payor’s determination to provide coverage for a product does not assure that other payors will also provide coverage and reimbursement for the product. Payors consider a number of factors when determining whether to cover a new product, including, for example, whether the product is a covered benefit under its health plan; safe, effective and medically necessary; appropriate for the specific patient; cost-effective; and neither experimental nor investigational. Third party payors may also limit coverage to specific products on an approved list, or formulary, which might not include all of the FDA-approved products for a particular indication if they are granted Accelerated Approval. Failure to obtain or maintain coverage and adequate reimbursement for our product candidate, if approved, could limit our ability to market the products and decrease our ability to generate revenue.</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a payor’s decision to provide coverage for a product does not imply that an adequate reimbursement rate will be approved. The process for determining whether a payor will provide coverage for a product may be separate from the process for setting the reimbursement rate that the payor will pay for the product. Even if coverage is provided, the approved reimbursement amount may not be high enough to allow us to establish or maintain pricing sufficient to realize a sufficient return on our investment. 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 that we develop. For products administered under the supervision of a physician, obtaining coverage and adequate reimbursement may be particularly difficult because of the higher prices often associated with such drugs. Additionally, separate reimbursement for the product itself may or may not be available. Instead, the hospital or administering physician may be reimbursed only for providing the treatment or procedure in which our product is used.</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increasing efforts by third party payors in the U.S. and abroad to cap or reduce healthcare costs may cause payor organizations to limit both coverage and the level of reimbursement for newly approved products and, as a result, they may not cover or provide adequate payment for our product candidate.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marketing authorizations or approvals. Additionally, we may also need to provide permissible discounts to purchasers, private health plans or government healthcare programs. Our product candidate may nonetheless not be considered medically necessary or cost-effective. If third party payors do not consider a product to be cost-effective compared to other available therapies, they may not cover the product after marketing authorization or approval as a benefit under their plans or, if they do, the level of payment may not be sufficient to allow a company to sell its products at a profit. We expect to experience pricing pressures from third party payors in connection with the potential sale of our product candidate.</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In some countries, the pricing for a drug must be approved before the drug may be marketed. In many countries, the pricing review period begins after marketing or product licensing approval is granted. There can be no assurance that any country will allow reimbursement and pricing arrangements for our product candidate that are sufficient to recoup our investment.</w:t>
      </w:r>
    </w:p>
    <w:p>
      <w:pPr>
        <w:spacing w:after="0" w:line="71" w:lineRule="exact"/>
        <w:rPr>
          <w:sz w:val="20"/>
          <w:szCs w:val="20"/>
          <w:color w:val="auto"/>
        </w:rPr>
      </w:pPr>
    </w:p>
    <w:p>
      <w:pPr>
        <w:ind w:right="8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Enacted and future healthcare legislation may increase the difficulty and cost for us to progress our clinical programs and obtain marketing licensure or approval of and commercialize our product candidate and may affect the prices we may set.</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U.S. and other jurisdictions, there have been, and we expect there will continue to be, a number of legislative and regulatory changes and proposed changes to the healthcare system that could affect results of our future operations. In particular, there have been and continue to be a number of initiatives at the U.S. federal and state levels that seek to reduce healthcare costs and improve the quality of healthcare. For example,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It is unclear how future regulatory actions to implement the IRA, as well as the outcome of pending litigation against the IRA, may affect our products and future profitability. See Part I, Item 1, Government Regulation – Healthcare and Data Privacy Regulation – Healthcare Reform of the Annual Report on Form 10-K (Fiscal 2025 10-K) for additional detail on recent healthcare reform efforts that could affect our operations.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7" w:name="page48"/>
    <w:bookmarkEnd w:id="47"/>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federal and state governments will pay for healthcare items and services. This could result in reduced demand for any product candidate we develop or could result in additional pricing pressures.</w:t>
      </w:r>
    </w:p>
    <w:p>
      <w:pPr>
        <w:spacing w:after="0" w:line="50"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markets outside of the U.S., reimbursement and healthcare payment systems vary significantly by country and many countries have instituted price ceilings on specific products and therapies. The price control regulations outside of the U.S. can have a significant impact on the profitability of a given market, and further uncertainty is introduced if and when these laws change.</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U.S. or any other jurisdiction. If we, or any third parties we may engage, are slow or unable to adapt to changes in existing requirements or the adoption of new requirements or policies, or if we, or these third parties, are not able to maintain regulatory compliance, our product candidate may lose any regulatory licensure or approval that may have been obtained and we may not achieve or sustain profitability.</w:t>
      </w:r>
    </w:p>
    <w:p>
      <w:pPr>
        <w:spacing w:after="0" w:line="6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are subject to trade controls, sanctions and anti-corruption laws, and noncompliance could result in significant penalties and operational disruption.</w:t>
      </w:r>
    </w:p>
    <w:p>
      <w:pPr>
        <w:spacing w:after="0" w:line="5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engage third parties and vendors and may conduct activities across multiple jurisdictions. As a result, our operations may be subject to import and export controls, economic sanctions, customs requirements, and anti-corruption and anti-bribery laws administered by the United States and foreign authorities. These regulatory regimes are complex, change frequently, and may be subject to differing interpretations.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failure, or alleged failure, by us or by third parties acting on our behalf to comply with these requirements could result in investigations, civil or criminal penalties, fines, loss of export privileges, contract termination, reputational harm, or increased compliance costs. Even allegations of noncompliance could divert management attention and materially adversely affect our business, financial condition and results of operations.</w:t>
      </w:r>
    </w:p>
    <w:p>
      <w:pPr>
        <w:spacing w:after="0" w:line="64"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biopharmaceutical industry is subject to extensive regulatory obligations and policies that may be subject to significant and abrupt change, including due to judicial challenges, election cycles, and resulting regulatory updates and changes in policy priorities.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Department of Health and Human Services (HHS), CMS,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federal agency priorities, leadership, policies, rulemaking, communications, spending, and staffing may be significantly impacted by election cycles and legislative developments. For example, the current presidential administration’s commitment to significantly reduce government spending through cuts to federal healthcare programs and reductions in the workforces of key government agencies, such as HHS, FDA and CMS. Efforts by the current administration to limit federal agency budgets or personnel may result in reductions to agency budgets, employees, and operations. The administration and agencies have also made abrupt announcements about new or changed regulatory policies, such as policies related to the use of artificial intelligence to review product applications. And, future federal government shutdowns may prevent the FDA or 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and longer review periods, potentially affecting our ability to progress development of our product candidate or obtain regulatory approval for our product candidate.</w:t>
      </w:r>
    </w:p>
    <w:p>
      <w:pPr>
        <w:spacing w:after="0" w:line="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Any resulting changes in regulation may result in unexpected delays, increased costs, or other negative impacts on our business that are difficult to predict.</w:t>
      </w:r>
    </w:p>
    <w:p>
      <w:pPr>
        <w:spacing w:after="0" w:line="50" w:lineRule="exact"/>
        <w:rPr>
          <w:sz w:val="20"/>
          <w:szCs w:val="20"/>
          <w:color w:val="auto"/>
        </w:rPr>
      </w:pPr>
    </w:p>
    <w:p>
      <w:pPr>
        <w:ind w:right="7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Actual or perceived failures to comply with applicable data protection, privacy and security laws, regulations, standards and other requirements could adversely affect our business, operations, and financial condition.</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 party data, business plans, transactions, clinical trial data and financial information or collectively, sensitive data.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the U.S., federal, state, and local governments have enacted numerous data privacy and security laws, including data breach notification laws, personal data privacy laws, consumer protection laws (e.g., Section 5 of the Federal Trade Commission Act), and other similar laws (e.g., wiretapping laws). Most healthcare providers, including certain research institutions from which we may obtain patient health information, are subject to privacy and security regulations promulgated under the Health Insurance Portability and Accountability Act of 1996 (HIPAA), as amended by the Health Information Technology for Economic and Clinical Health Act (HITECH). We are not currently acting as a covered entity (health plans, health care clearinghouses and certain health care providers) or business associate (individuals or entities that create, receive, maintain or transmit individually identifiable health information in connection with providing a service for or on behalf of a covered entity, as well as their covered subcontractors) under HIPAA and therefore are not directly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disclosed individually identifiable health information in a manner that is not authorized or permitted under HIPAA. In addition, in the future, we may maintain sensitive personal information, including health-related information, that we receive throughout the clinical trial process, in the course of our research collaborations and/or directly from individuals (or their healthcare providers) who may enroll in patient assistance programs if we choose to implement these types of programs. As a result, we may be subject to data privacy and security laws protection such information, including state laws requiring notification of affected individuals and state regulators in the event of a breach of personal information, which is a broader class of information than the health information protected by HIPAA.</w:t>
      </w:r>
    </w:p>
    <w:p>
      <w:pPr>
        <w:spacing w:after="0" w:line="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the past few years, numerous U.S. states have enacted health-specific or comprehensive privacy laws that impose certain obligations on covered businesses, including providing specific disclosures in privacy notices and affording residents with certain rights concerning their personal data. For example, Washington’s My Health My Data Act regulates consumer health data, which includes personal information identifies a consumer’s past, present, or future physical or mental health. However, the My Health My Data Act provides exemptions for personal data used or shared in research, including data subject to 45 C.F.R. Parts 46, 50, and 56. Another example, the California Consumer Privacy Act of 2018 (CCPA), as amended by the California Privacy Rights Act of 2020 (CPRA), collectively CCPA, creates individual data privacy rights for consumers and operational requirements for companies, including placing increased privacy and security obligations on entities handling certain personal information of consumers or households; imposes additional data protection obligations on covered businesses, including additional consumer rights processes; limitations on data uses; new audit requirements for higher risk data; and opt outs for certain uses of sensitive data.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private right of action for data breaches, and created a new California data protection agency authorized to issue substantive regulations and could result in increased privacy and information security enforcement and litigation. Similar laws have been adopted or proposed in other states and at the federal level, and if passed, such laws may have potentially conflicting requirements that would make compliance challenging. While these laws generally include exemptions for health-related data such as clinical trial data, they add layers of complexity to compliance in the U.S. market and could increase our compliance costs and adversely affect our business. In the event we are subject to or affected by HIPAA, the CCPA, or other privacy and data protection laws, any liability from failure to comply with the requirements of these laws could adversely affect our financial condition.</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Additionally, the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are unfair or deceptive in the coming years.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govern data privacy and security. For example, the European Union General Data Protection Regulation (EU GDPR) and the United Kingdom’s GDPR (UK GDPR), collectively GDPR, impose strict requirements for the processing of personal data. The GDPR imposes a number of compliance obligations including accountability and transparency requirements, requirements to process personal data lawfully, obligations to consider data protection as any new products or services are developed and designed, obligations to implement appropriate technical and organizational security measures to safeguard personal data and to report certain personal data breaches, obligations to comply with data protection rights of data subjects and additional requirements around the processing of special categories of personal data, including health and genetic data. The GDPR have restrictions on transfers of personal data from their jurisdiction to other jurisdictions. Companies may be subject to robust regulatory enforcement of data protection requirements and potential fines for noncompliance of up to €20 million (under the EU GDPR) or £17.5 million (under the UK GDPR) or up to 4% of the annual global turnover of the preceding year for the noncompliant company, whichever is greater.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71"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or our third party manufacturers and suppliers fail to comply with environmental, health and safety laws and regulations, we could become subject to fines or penalties or incur costs that could have an adverse effect on the success of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cannot eliminate the risk of contamination or injury from these materials, which could cause an interruption of our commercialization efforts, research and development efforts and business operations, environmental damage resulting in costly clean-up and/or liabilities under applicable laws and regulations. We generally contract with third parties for the disposal of these materials and wastes and cannot eliminate the risk of accidental contamination or injury. Upon an event of this nature, we may be held liable for any resulting damages and such liability could exceed our resources and federal, state or other applicable authorities may curtail our use of certain materials and/or interrupt our business operations. Environmental laws and regulations are complex, change frequently and have tended to become more stringent and we may incur substantial costs to comply. Current or future laws and regulations may impair our research, development or production efforts. Failure to comply with these laws and regulations may result in substantial fines, penalties or other sanctions.</w:t>
      </w:r>
    </w:p>
    <w:p>
      <w:pPr>
        <w:spacing w:after="0" w:line="8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50" w:lineRule="exact"/>
        <w:rPr>
          <w:sz w:val="20"/>
          <w:szCs w:val="20"/>
          <w:color w:val="auto"/>
        </w:rPr>
      </w:pPr>
    </w:p>
    <w:p>
      <w:pPr>
        <w:ind w:right="8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U.S. and certain foreign export and import controls, anti-corruption laws and anti-money laundering laws and regulations. We can face criminal liability and other serious consequences for violations, which can harm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various federal, state, and foreign government export and import laws and regulations, anti-bribery and anti-money laundering laws in the U.S. and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attract and retain qualified senior management and key scientific and medical personnel, our business may be materially and adversely affected.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members of our senior management, including Thomas Civik, currently serving as Interim Chief Executive Officer of the Company, Jitendra Wadhane, who serves as Principal Financial and Accounting Officer, as well as our senior scientists, senior medical personnel and other members of our senior management team. The loss of one or more of our executive officers, senior scientists, senior medical personnel and other members of our senior management team could delay or prevent the successful development of our product pipeline, the initiation and completion of our clinical trials or the commercialization of our product candidate or any future product candidate.</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Competition for qualified personnel in the pharmaceutical, biopharmaceutical and biotechnology field is intense due to the limited number of individuals who possess the skills and experience required by our industry. We may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consultants and collaborators may engage in misconduct or other improper activities, including insider trading and non-compliance with regulatory standards and requirements.</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U.S. regulators and non-U.S. regulators, including those laws requiring the reporting of true, complete and accurate information to such regulators.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officers, directors, including consultants,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contractual damages, reputational harm,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80"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currently have no marketing, sales, or distribution infrastructure and both establishing this infrastructure or outsourcing this function to a third party carries substantial risks to us.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because our product candidate is still in clinical development. If our product candidate completes clinical development and is approved, we intend to either establish a sales and marketing organization with technical expertise and supporting distribution capabilities to commercialize our product candidate in a legally compliant manner, or to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our collaborator’s willingness or ability to complete its obligations, and our obligations under our arrangements may be adversely affected by business combinations or significant changes in our collaborators’ business strategy.</w:t>
      </w:r>
    </w:p>
    <w:p>
      <w:pPr>
        <w:spacing w:after="0" w:line="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spacing w:after="0" w:line="68"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information technology systems, or those of any of our existing or future CROs, manufacturers, other contractors, consultants, or collaborators, may be compromised, which could result in additional costs, significant liabilities, harm to our reputation and material disruption of our operations.</w:t>
      </w:r>
    </w:p>
    <w:p>
      <w:pPr>
        <w:spacing w:after="0" w:line="6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collect, process, and store proprietary, confidential, and sensitive information, including personal information (including health information), intellectual property, trade secrets, and proprietary business information owned or controlled by ourselves or other parties.</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infrastructure, and those of our current and any future CROs, manufacturers, other contractors, consultants, existing or future collaborators and other third party service providers are vulnerable to damage from various methods, including cybersecurity attacks, breaches, errors, malfeasance, or other technological failures, which can include, among other things, computer viruses, unauthorized access attempts, including third parties gaining access to systems using stolen or inferred credentials, ransomware attacks,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effects on our business that may arise from such breaches. The recovery systems, security protocols, network protection mechanisms and other 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1" w:name="page52"/>
    <w:bookmarkEnd w:id="51"/>
    <w:p>
      <w:pPr>
        <w:ind w:firstLine="509"/>
        <w:spacing w:after="0" w:line="253" w:lineRule="auto"/>
        <w:rPr>
          <w:sz w:val="20"/>
          <w:szCs w:val="20"/>
          <w:color w:val="auto"/>
        </w:rPr>
      </w:pPr>
      <w:r>
        <w:rPr>
          <w:rFonts w:ascii="Times New Roman" w:cs="Times New Roman" w:eastAsia="Times New Roman" w:hAnsi="Times New Roman"/>
          <w:sz w:val="18"/>
          <w:szCs w:val="18"/>
          <w:color w:val="auto"/>
        </w:rPr>
        <w:t>If such an event were to occur and cause interruptions in our operations, it could result in a material disruption of our product candidate development program and our business operations including without limitation, disruptions of our drug development programs, delays in our regulatory approval efforts, regulatory investigations or enforcement actions, litigation, indemnity obligations, negative publicity, and financial loss and significant liabilities. In addition, system failures could cause the loss, theft, exposure, or unauthorized access or use of valuable clinical trial data as a result of accidents, errors or malfeasance by our employees, independent contractors or others working with us or on our behalf or otherwise disrupt our clinical activities and be expensive and time-consuming to remedy. Some of the federal, state and foreign government legal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 could result in delays in our regulatory licensure efforts and significantly increase our costs to recover or reproduce the lost data. Any breach of our computer systems may result in a loss of data or compromised data integrity across many of our programs in various stages of development.</w:t>
      </w:r>
    </w:p>
    <w:p>
      <w:pPr>
        <w:spacing w:after="0" w:line="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We may be required to expend resources; modify our business activities and practices; or modify our operations, including our development</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program activities; or information technology in an effort to comply with applicable data protection laws, privacy policies and data protection obligations.</w:t>
      </w:r>
    </w:p>
    <w:p>
      <w:pPr>
        <w:spacing w:after="0" w:line="9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 could be delayed and we could be subject to significant fines or penalties for any noncompliance with certain state, federal or international privacy and security laws.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may not cover all claims made against us and could have high deductibles. Defending a suit, regardless of its merit, could be costly and divert management attention. In addition, such insurance may not be available to us in the future on economically reasonable terms, or at all.</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use of emerging technologies, including artificial intelligence, may introduce operational, legal and reputational risks.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and our third-party vendors may use emerging technologies, including artificial intelligence and machine-learning tools, in connection with research, data analysis, clinical operations or other business processes. These technologies may produce inaccurate, incomplete or misleading outputs, and errors may not be readily detectable. Their use may also raise novel issues relating to data privacy, intellectual property ownership, regulatory compliance and evolving industry standards.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legal and regulatory framework governing these technologies is rapidly evolving. If we fail to appropriately govern their use, or if regulators impose new restrictions or requirements, we could experience delays, increased costs, regulatory scrutiny, litigation exposure or reputational harm, any of which could materially adversely affect our business.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business is subject to economic, political, regulatory and other risks associated with conducting business internationally.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may seek regulatory approval or licensure of our product candidate outside of the United States. Accordingly, we expect that we will be subject to additional risks related to operating in foreign countries if we obtain the necessary approvals or licenses, including, but not limited to:</w:t>
      </w:r>
    </w:p>
    <w:p>
      <w:pPr>
        <w:spacing w:after="0" w:line="54" w:lineRule="exact"/>
        <w:rPr>
          <w:sz w:val="20"/>
          <w:szCs w:val="20"/>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820" w:right="140" w:hanging="303"/>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820" w:right="600" w:hanging="303"/>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 The U.S. government has recently imposed, or is currently considering imposing, tariffs on certain trade partners, including China. 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Such changes have the potential to adversely impact the U.S. economy or certain sectors thereof, the global economy, and our industry, and as a result, could have a material adverse effect on our business, financial condition and results of operations.</w:t>
      </w:r>
    </w:p>
    <w:p>
      <w:pPr>
        <w:spacing w:after="0" w:line="80"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research and development activities involve hazardous materials, and noncompliance with environmental, health and safety laws could result in significant liability.</w:t>
      </w:r>
    </w:p>
    <w:p>
      <w:pPr>
        <w:spacing w:after="0" w:line="15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and those of our third-party vendors, may involve the use, storage, transportation and disposal of biological materials, chemicals and other hazardous substances. These activities are subject to extensive environmental, health and safety laws and regulations. Accidental contamination, spills, exposures or other incidents could occur.</w:t>
      </w:r>
    </w:p>
    <w:p>
      <w:pPr>
        <w:spacing w:after="0" w:line="17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If such events occur, we could incur significant costs for investigation, remediation, fines or penalties, third-party claims and reputational harm. In addition, any material failure to comply with applicable environmental, health and safety requirements could disrupt our operations or delay development activities, which could materially adversely affect our business and prospects.</w:t>
      </w:r>
    </w:p>
    <w:p>
      <w:pPr>
        <w:spacing w:after="0" w:line="64"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Disruptions at the FDA, the SEC and other government agencies could hinder their ability to perform normal business functions on which the operation of our business may rely, which could negatively impact our business.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funding,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ind w:right="60" w:firstLine="554"/>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October 2025, the U.S. government shut down several times and certain regulatory agencies, such as the FDA and the SEC,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9"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ind w:right="3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comply with our obligations under any license, collaboration or other agreements, we may be required to pay damages and could lose intellectual property rights that are necessary for developing and protecting our product candidate or we could lose certain rights to grant sublicenses.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a party to license agreements with Pfizer, Biosion, and the University of Chicago, pursuant to which we in-license patents and technology for certain of our product candidate, pursuant to which we may license patents and technology for future product candidate. Our current license agreements and our collaboration agreement impose, and any future license agreements or collaboration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78"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may form or seek additional collaborations or strategic alliances or enter into additional licensing arrangements in the future. If any of these collaborations, strategic alliances or licensing arrangements are not successful, we may not be able to capitalize on the market potential of the product candidate.</w:t>
      </w:r>
    </w:p>
    <w:p>
      <w:pPr>
        <w:spacing w:after="0" w:line="6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additional licensing arrangements with third parties that we believe will complement or augment our development and commercialization efforts with respect to our current or future product candidate. Any of these relationships may require us to incur non-recurring and other charges, increase our near and long-term expenditures, issue securities that dilute our existing stockholders or disrupt our management and business.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 because they may be deemed to be at too early of a stage of development for collaborative effort and third parties may not view our product candidate as having the requisite potential to demonstrate safety, potency, purity and efficacy and obtain marketing approval. Additionally, our existing partners may decide to acquire or partner with other companies developing oncology therapeutics, which may have an adverse impact on our business prospects, financial condition and results of operations.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if we enter into additional collaboration agreements and strategic partnerships or license our product candidate, we may not be able to realize the benefit of those transactions if we are unable to successfully integrate them with our existing operations and company culture, which could delay our timelines or otherwise adversely affect our business prospects, financial condition and results of operations. We also cannot be certain that, following a strategic transaction or license, we will achieve the revenue or specific net income that justifies the entry into the transaction in the first place. Any delays in entering into new collaborations or strategic partnership agreements related to our product candidate could delay the development and commercialization of our product candidate in certain geographies for certain indications, which would harm our business prospects, financial condition and results of operations.</w:t>
      </w:r>
    </w:p>
    <w:p>
      <w:pPr>
        <w:spacing w:after="0" w:line="77"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rely on third parties to manufacture our product candidate. Any failure by a third party manufacturer to produce acceptable raw materials or product candidate for us or to obtain authorization from the FDA or comparable foreign regulatory authorities relating thereto may delay or impair our ability to initiate or complete our clinical trials, obtain regulatory licensure or approvals or commercialize approved products.</w:t>
      </w:r>
    </w:p>
    <w:p>
      <w:pPr>
        <w:spacing w:after="0" w:line="6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 We rely on third party contract manufacturers to manufacture our preclinical and clinical trial product supplies. We expect to continue to rely on third party manufacturers if we receive regulatory licensure for our product candidate. We do not have complete control over the ability of our third party manufacturers to maintain adequate manufacturing capacity and capabilities to serve our needs, including quality control, quality assurance and qualified personnel. There can be no assurance that our preclinical and clinical development product supplies will not be limited, interrupted, or of satisfactory quality or continue to be available at acceptable prices, whether as a result of inflationary pressures or otherwise.</w:t>
      </w:r>
    </w:p>
    <w:p>
      <w:pPr>
        <w:spacing w:after="0" w:line="8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particular, any replacement of any of our manufacturers could require significant effort and expense because there may be a limited number of qualified replacements and could take a significant amount of time to complete.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 (cGMP). In the event that any of our manufacturers fail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our product candidate in a timely manner or within budget.</w:t>
      </w:r>
    </w:p>
    <w:p>
      <w:pPr>
        <w:spacing w:after="0" w:line="8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rely on third party manufacturers if we receive regulatory licensure for our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our product candidate, or to do so on commercially reasonable terms, we may not be able to develop and commercialize our product candidate successfully. Our or a third party’s failure to execute on our manufacturing requirements and comply with cGMP or similar foreign requirements could adversely affect our business in a number of ways, including:</w:t>
      </w:r>
    </w:p>
    <w:p>
      <w:pPr>
        <w:spacing w:after="0" w:line="79" w:lineRule="exact"/>
        <w:rPr>
          <w:sz w:val="20"/>
          <w:szCs w:val="20"/>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the product candidate under development;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licenses, for the product candidate;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an existing or future collaborator;</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 party manufacturing facilities or our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 product candidate, and an inability to meet commercial demands for such products.</w:t>
      </w:r>
    </w:p>
    <w:p>
      <w:pPr>
        <w:spacing w:after="0" w:line="11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agreements with third party CDMOs, or to do so on acceptable terms. Even if we are able to establish agreements with CDMOs, reliance on them entails additional risks, including:</w:t>
      </w:r>
    </w:p>
    <w:p>
      <w:pPr>
        <w:spacing w:after="0" w:line="54" w:lineRule="exact"/>
        <w:rPr>
          <w:sz w:val="20"/>
          <w:szCs w:val="20"/>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CDMO for regulatory, compliance and quality assurance;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CDMO;</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CDMO at a time that is costly or inconvenient for us.</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product candidate, and these arrangements do not extend to commercial supply and, in some instances, to clinical supply. We acquire many key materials on a purchase order basis. As a result, we do not have long-term committed arrangements with respect to our product candidate and other materials. If we receive marketing licensure for our product candidate, we will need to establish an agreement for commercial manufacture with a third party.</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CDMOs we retain may not be able to comply with cGMP regulations or comparable foreign regulatory requirements. Our failure, or the failure of our CDMOs, to comply with applicable regulations could result in sanctions being imposed on us, including clinical holds, fines, injunctions, civil penalties, delays, suspension or withdrawal of license, license revocation, seizures or recalls of our product candidate or products, operating restrictions and criminal prosecutions, any of which could significantly and adversely affect supplies of our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 must be approved by the FDA or the EU Member States in coordination with the EMA pursuant to inspections that will be conducted after we submit our BLA to the FDA or our marketing authorization application to the EMA. We do not have complete control over all aspects of the manufacturing process of, and are dependent on, our contract manufacturing partners for compliance with cGMP regulations for manufacturing. Third party manufacturers may not be able to comply with cGMP regulations or comparable foreign regulatory requirements. If our contract manufacturers cannot successfully manufacture material that conforms to our specifications and the strict regulatory requirements of the FDA or comparable foreign regulatory bodies, they will not be able to secure and/or maintain marketing licensure for their manufacturing facilities. In addition, we do not have complete control over the ability of our contract manufacturers to maintain adequate quality control, quality assurance and qualified personnel. If the FDA, EU Member States and the EMA or other comparable regulatory authorities do not approve these facilities for the manufacture of our product candidate or if they withdraw any such licensure in the future, we may need to find alternative manufacturing facilities, which would significantly impact our ability to develop, obtain marketing licensure for or market our product candidate, if approved or licensed.</w:t>
      </w:r>
    </w:p>
    <w:p>
      <w:pPr>
        <w:spacing w:after="0" w:line="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failure, or the failure of our third party manufacturers, to comply with applicable regulations could result in sanctions being imposed on us, including fines, injunctions, civil penalties, delays, suspension or withdrawal of licensure, license revocation, seizures or recalls of products or our product candidate, operating restrictions and criminal prosecutions, any of which could significantly and adversely affect supplies of our product candidate and harm our business and results of operations. Our product candidate and any products that we may develop may compete with other product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licensure. We do not currently have arrangements in place for redundant supply or a second source for bulk drug substance. If our current CDMOs cannot perform as agreed, we may be required to replace such manufacturers. Although we believe that there are several potential alternative manufacturers who could manufacture our product candidate, we may incur added costs and delays in identifying and qualifying any such replacement manufacturer or be able to reach agreement with any alternative manufacturer.</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 or products may adversely affect our future profit margins and our ability to commercialize any products that receive marketing licensure on a timely and competitive basis.</w:t>
      </w:r>
    </w:p>
    <w:p>
      <w:pPr>
        <w:spacing w:after="0" w:line="50"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Legislative or regulatory restrictions on the use of certain foreign biotechnology or manufacturing service providers could materially disrupt our operations.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rely on third-party manufacturers, suppliers and service providers for the development, manufacture and supply of our product candidate and related materials. Some of these third parties, or their subcontractors, may be located outside the United States. From time to time, legislative or regulatory proposals are introduced that could restrict, condition or prohibit U.S. companies from contracting with, or sourcing from, certain foreign biotechnology or manufacturing service providers, including providers located in China.</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such restrictions are enacted or expanded, we or our vendors may be required to discontinue relationships with affected counterparties, even if those counterparties provide specialized capabilities, capacity, or cost advantages. Transitioning to alternative providers could require significant time and expense, including technology transfer, qualification and validation activities, additional audits, and potential regulatory engagement. We may be unable to identify acceptable alternatives on reasonable timelines or terms, which could delay clinical trials, interrupt manufacturing, increase development costs, and materially adversely affect our business and prospects.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A portion of our manufacturing of our product candidate takes place in China, through third party manufacturers. A significant disruption in the operation of those manufacturers could materially adversely affect our business, financial condition and results of operations.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currently contract manufacturing operations to third parties, and large quantities of our product candidate is manufactured by these third parties globally, including in China. Any disruption in production or inability of our manufacturers to produce adequate quantities to meet our needs could impair our ability to operate our business on a day-to-day basis and to continue our development of our product candidate. Foreign and certain Chinese biotechnology companies and CDMOs, may become subject to U.S. legislation, including the legislation pending in Congress called the BIOSECURE Act. The Act could impose trade restrictions, sanctions, and other regulatory requirements by the U.S. government, which could restrict or even prohibit our ability to work with such entities. If we are restricted or prohibited from working with our current CDMOs, we may incur added costs or reduction of the supply of material available to us, delays in the procurement or supply of such material or adverse effects on our ability to manufacture our product candidate. Additionally, changes in U.S. trade policy, sanctions, export controls, import restrictions, tariffs, or other measures targeting certain foreign jurisdictions or entities could increase our costs, delay clinical supply, limit access to manufacturing capacity or materials, or require us to transition to alternative vendors, which could require significant time, expense, and regulatory effort. Any such disruptions could accelerate our cash burn and increase our need for additional capital. Any of these matters could materially and adversely affect our business and results of operations. Any recall of the manufacturing lots or similar action regarding our product candidate used in clinical trials could delay the trials or detract from the integrity of the trial data and its potential use in future regulatory filings. In addition, supply chain disruptions and delays may also occur as a result of any new tariff policies or trade restrictions, which could also negatively impact third party manufacturing. For example, on April 2, 2025, the United States government announced a baseline 10% tariff on all foreign goods, with goods imported from specified nations, including China and those in the European Union, taxed at higher rates. Any of these matters could materially and adversely affect our business and results of operations. Recent U.S. biosecurity-related legislation and related regulatory actions could restrict or complicate the ability of life sciences companies to use certain third-party biotechnology service providers, including for manufacturing, testing, or research services, particularly where federal funding, grants, or contracts are implicated. To the extent we or our collaborators rely on affected providers (including providers with operations in China), we may need to transition to alternative vendors, which could increase costs, delay development timelines, and disrupt supply chains.</w:t>
      </w:r>
    </w:p>
    <w:p>
      <w:pPr>
        <w:spacing w:after="0" w:line="77"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CDMOs may be unable to successfully scale-up manufacturing of our product candidate in sufficient quality and quantity, which would delay or prevent us from developing our product candidate and commercializing approved products, if any.</w:t>
      </w:r>
    </w:p>
    <w:p>
      <w:pPr>
        <w:spacing w:after="0" w:line="51"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In order to conduct clinical trials of our product candidate, we will need to manufacture it in large quantities. Quality issues may arise during scale-up activities. Our reliance on a limited number of CDMOs, the complexity of drug manufacturing and the difficulty of scaling up a manufacturing process could cause the delay of clinical trials, regulatory submissions, required licensure, or commercialization of our product candidate, cause us to incur higher costs and prevent us from commercializing our product candidate successfully. Furthermore, if our CDMOs fail to deliver the required commercial quality and quantities of materials on a timely basis and at commercially reasonable prices, and we are unable to secure one or more replacement CDMOs capable of production in a timely manner at a substantially equivalent cost, then testing and clinical trials of our product candidate may be delayed or infeasible, and regulatory licensure or commercial launch of any resulting product may be delayed or not obtained, which could significantly harm our business.</w:t>
      </w:r>
    </w:p>
    <w:p>
      <w:pPr>
        <w:spacing w:after="0" w:line="59"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obtain sufficient raw and intermediate materials on a timely basis or if we experience other manufacturing or supply difficulties, our business may be adversely affected.</w:t>
      </w:r>
    </w:p>
    <w:p>
      <w:pPr>
        <w:spacing w:after="0" w:line="5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 manufacture of our product candidate requires the timely delivery of sufficient amounts of raw and intermediate materials. We work closely with our suppliers to ensure the continuity of supply but cannot guarantee these efforts will always be successful. Further, while efforts are made to diversify our sources of raw and intermediate materials, in certain instances we acquire raw and intermediate materials from a sole supplier. While we believe that alternative sources of supply exist where we rely on sole supplier relationships, there can be no assurance that we will be able to quickly establish additional or replacement sources for some materials. A reduction or interruption in supply, and an inability to develop alternative sources for such supply, could adversely affect our ability to manufacture our product candidate in a timely or cost-effective manner.</w:t>
      </w:r>
    </w:p>
    <w:p>
      <w:pPr>
        <w:spacing w:after="0" w:line="75"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We will rely on third party CROs to conduct clinical trials for our biological product candidate.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7" w:name="page58"/>
    <w:bookmarkEnd w:id="57"/>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licenses for our product candidate and will not be able to, or may be delayed in our efforts to, successfully commercialize our product candidate.</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obtain or protect our intellectual property in and to our product candidate, we may not be able to compete effectively in our markets.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proprietary know-how, trade secret protection and confidentiality agreements to protect the intellectual property related to our product candidate and discovery programs. Our success depends in large part on our ability to obtain and maintain patent and other intellectual property rights in the U.S. and other countries. We and or licensors have filed patent applications in the U.S. and abroad directed to our product candidate in an effort to establish intellectual property positions for their compositions of matter as well as uses in the treatment of diseases. Our intellectual property includes patents and patent applications that we own, as well as those we in-license, including in-licensed patents that we manage directly and those that remain managed by our licensors.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or our licensors have not pursued or maintained, and may not pursue or maintain in the future, patent protection for our product candidate in every country or territory in which we may sell our products, if approved. The patent prosecution process is expensive and time-consuming, and we may not be able to file and prosecute all necessary or desirable patent applications at a reasonable cost or in a timely manner. In addition, we cannot be sure that any of our pending patent applications will issue, or that if issued, will be in a form advantageous to us. The United States Patent and Trademark Office (USPTO), international patent offices, or judicial bodies may deny, or significantly narrow claims made under our patent applications and our patents may be successfully challenged, may be designed around, or may otherwise be of insufficient scope to provide us with protection for our commercial products.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we will fail to identify patentable aspects of our research and development output before it is too late to obtain patent protection. We may be subject to a third party submission of prior art to the USPTO, or other patent offices, in our pending patent applications. There is no assurance that all of the potentially relevant prior art relating to our patents and patent applications has been found, which can invalidate a patent or prevent a patent from issuing. In addition to the above, patent prosecution is a lengthy process, during which the scope of the claims initially submitted for examination by the USPTO may be significantly narrowed or may not issue at all. The claims of our issued patents or patent applications when issued may not cover our current or future product candidate, or even if such patents provide coverage, the coverage obtained may not provide any competitive advantage. The patent applications that we own, or in-license, may fail to result in issued patents with claims that cover our current or future product candidate in the U.S. or in other foreign countries, or we may be required to disclaim all or a portion of the remaining patent term to secure issuance. Even if patents do successfully issue,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current and future product candidate. Further, if we encounter delays in regulatory licensure or approvals, the period of time during which we could market a product candidate under patent protection could be reduced.</w:t>
      </w:r>
    </w:p>
    <w:p>
      <w:pPr>
        <w:spacing w:after="0" w:line="8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the patent applications we own or have in-licensed with respect to our product candidate and discovery programs fail to issue, if their breadth or strength of protection is threatened, or if they fail to provide meaningful exclusivity for our current or any future product candidate, it could dissuade companies from collaborating with us to develop and commercialize product candidate and future drugs and threaten our ability to commercialize future drugs. Any such outcome could have a negative effect on our business.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intellectual property rights to the same extent as the laws of the U.S. For example, European patent law restricts the patentability of methods of treatment of the human body more than U.S. law does. Furthermore, other parties may have developed or may develop technologies that may be related to, or competitive with, our technologies, and such parties may have filed, or may file, patent applications, or may have received, or may receive, patents, claiming inventions that may overlap or conflict with those claimed in our patent applications or issued patents, and that we may rely upon to establish exclusivity for our products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It is also possible that in our evaluation of third party intellectual property, we failed to identify relevant patents or applications.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our current and future products. As a result, the issuance, scope, validity, enforceability and commercial value of our patent rights are highly uncertain. Our pending and future patent applications may not result in patents being issued which protect our technology or drugs, in whole or in part, or which effectively prevent others from commercializing competitive technologies and drugs. Changes in either the patent laws or interpretation of the patent laws in the U.S. and other countries may diminish the value of our patents or narrow the scope of our patent protection.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 rights may be challenged in the courts or patent offices in the U.S. and abroad. For example, we may become involved in opposition, derivation, reexamination, inter partes review, post-grant review, or interference proceedings challenging our patent rights or the patent rights of others. An adverse determination in any such proceeding, or in litigation, could reduce the scope of our patent claims, result in our patent rights being held invalid, in whole or in part, or unenforceable, or limit the duration of the patent protection of our technology and products, and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our current or any future product candidate.</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Moreover, patents have a limited lifespan. In the U.S. and internationally, a patent generally expires 20 years after the earliest filing date of a non-provisional patent application. Various extensions may or may not be available; however, the life of a patent, and the protection it affords, is limited. Without patent protection for our current or future product candidate, we may be open to competition from generic and/or biosimilar versions of such products. Given the amount of time required for the development, testing and regulatory review of new product candidate, patents protecting such candidate might expire before or shortly after such candidates are commercialized. As a result, our owned and licensed patent rights may not provide us with sufficient rights to exclude others from commercializing drugs similar or identical to ours. We may also rely on trade secrets, know-how and continuing technological innovation to develop and maintain our proprietary and intellectual property position. Even if our patent rights are unchallenged, our issued patents and our pending patent applications, if issued, may not provide us with any meaningful protection or prevent competitors from designing around our patent claims to circumvent our owned patent rights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protection provided by our patent rights with respect to our product candidates is not sufficiently broad to impede such competition, or if the breadth, strength or term (including any extensions or adjustments) of protection provided by our patent rights with respect to our product candidates or any future product candidates is successfully challenged, our ability to successfully commercialize our product candidate could be negatively affected, which would harm our business.</w:t>
      </w:r>
    </w:p>
    <w:p>
      <w:pPr>
        <w:spacing w:after="0" w:line="8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of the U.S. over the lifetime of our owned and licensed patents and/or applications and any patent rights we may own or license in the future. We rely on a combination of in-house employees, reputable law firms, service providers, and our licensors to pay these fees and to help us comply with these requirements.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8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fail to apply for, or are unsuccessful in our application for,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spacing w:after="0" w:line="64"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are infringing their intellectual property rights or to challenge the validity or scope of our intellectual property rights, including in oppositions, interferences, reexaminations, inter partes reviews, derivation or other similar proceedings before the U.S. or other domestic or foreign jurisdictions. These proceedings can be expensive and time-consuming and adversaries in these proceedings may have the ability to dedicate substantially greater resources to prosecuting these legal actions than we or our licensors or collaborators can.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A finding of infringement could prevent us from commercializing our product candidates or force us to cease some of our business operations, which could materially harm our business.</w:t>
      </w:r>
    </w:p>
    <w:p>
      <w:pPr>
        <w:spacing w:after="0" w:line="7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or advisors were previously, or are currently,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have used or disclosed confidential information or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distract management.</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80" w:lineRule="exact"/>
        <w:rPr>
          <w:sz w:val="20"/>
          <w:szCs w:val="20"/>
          <w:color w:val="auto"/>
        </w:rPr>
      </w:pPr>
    </w:p>
    <w:p>
      <w:pPr>
        <w:ind w:right="20" w:firstLine="509"/>
        <w:spacing w:after="0" w:line="291" w:lineRule="auto"/>
        <w:rPr>
          <w:sz w:val="20"/>
          <w:szCs w:val="20"/>
          <w:color w:val="auto"/>
        </w:rPr>
      </w:pPr>
      <w:r>
        <w:rPr>
          <w:rFonts w:ascii="Times New Roman" w:cs="Times New Roman" w:eastAsia="Times New Roman" w:hAnsi="Times New Roman"/>
          <w:sz w:val="17"/>
          <w:szCs w:val="17"/>
          <w:b w:val="1"/>
          <w:bCs w:val="1"/>
          <w:color w:val="auto"/>
        </w:rPr>
        <w:t>Licensing of intellectual property is of critical importance to our business and involves complex legal, business and scientific issues. If we breach our Pfizer license agreement or any of the other agreements under which we acquired, or will acquire, intellectual property rights covering our product candidates, we could lose the ability to continue the development and commercialization of the related product candidates(s).</w:t>
      </w:r>
    </w:p>
    <w:p>
      <w:pPr>
        <w:spacing w:after="0" w:line="4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licensing of intellectual property is of critical importance to our business and to our current and future product candidates, and we may enter into additional such agreements in the future. In particular, the rights to the intellectual property covering MICVO are in-licensed from Pfizer. If we fail to meet our obligations under any of our in-license agreements, including the amended and restated license agreement with Pfizer, dated October 6, 2022, as further amended, then the licensor may terminate the license agreement. If one of our material in-license agreements is terminated, we will lose the right to continue to develop and commercialize the product candidate(s) covered by such in-license agreement. While we would expect to exercise all rights and remedies available to us, including seeking to cure any breach by us, and otherwise seek to preserve our rights under our in-license agreements, we may not be able to do so in a timely manner, at an acceptable cost or at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patents, the patents of our licensors or our other intellectual property rights, which could be expensive, time-consuming and unsuccessful.</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and time-consuming and is likely to divert significant resources from our core business, including distracting our technical and management personnel from their normal responsibilities. In addition, in an infringement proceeding, a court may decide that a patent of ours or our licensors is not valid, is unenforceable, or may refuse to stop the other party from using the technology at issue on the grounds that our patents do not cover the technology in question. An adverse result in such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 claims against us, such as claims asserting that our patent rights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 review, or post-grant review, or oppositions or similar proceedings outside the U.S.,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8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U.S. Any litigation or other proceedings to enforce our intellectual property rights may fail, and even if successful, may result in substantial costs and distract our management and other employees.</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71"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Changes in U.S. patent law or the patent law of other countries or jurisdictions could diminish the value of patents in general, thereby impairing our ability to protect our current and any future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U.S. has recently enacted and implemented wide ranging patent reform legislation. The U.S. Supreme Court has ruled on several patent cases in recent years, either narrowing the scope of patent protection available or weakening the rights of patent owners in certain circumstances or situations. In addition to increasing uncertainty regarding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For example, many foreign countries have compulsory licensing laws under which a patent owner must grant licenses to third parties, or limit the enforceability of patents against third parties, including government agencies or government contractors.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 which could negatively impact our business.</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the U.S. These products may compete with our products in jurisdictions where we do not have any issued or licensed patents and any future patent claims, or other intellectual property rights may not be effective or sufficient to prevent them from so competing. Additionally, some foreign countries do not protect intellectual property rights to the same extent as the federal laws of the U.S. and we may encounter problem protecting and defending our intellectual properties rights in such countries, which could negatively affect our business. For example, many foreign countries have compulsory licensing laws under which a patent owner must grant licenses to third parties, or limit the enforceability of patents against third parties, including government agencies or government contractors.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If we are unable to protect the confidentiality of our trade secrets, our business and competitive position may be harmed.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may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protect trade secrets.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77"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Since we rely on third parties to help us discover, develop, manufacture or commercialize our current and any future product candidates, or if we collaborate with third parties for the development, manufacturing or commercialization of our current or any future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2" w:name="page63"/>
    <w:bookmarkEnd w:id="62"/>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 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U.S. are sometimes less willing to protect trade secrets.</w:t>
      </w:r>
    </w:p>
    <w:p>
      <w:pPr>
        <w:spacing w:after="0" w:line="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stock price is volatile, and you could lose all or part of your investment.</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highly volatile. As a result of this volatility, investors may not be able to sell their common stock at or above the price they purchased their common stock. The market price for our common stock may be influenced by many factors, including the other risks described in this section of the Quarterly Report on Form 10-Q titled “Risk Factors” and the following:</w:t>
      </w:r>
    </w:p>
    <w:p>
      <w:pPr>
        <w:spacing w:after="0" w:line="68" w:lineRule="exact"/>
        <w:rPr>
          <w:sz w:val="20"/>
          <w:szCs w:val="20"/>
          <w:color w:val="auto"/>
        </w:rPr>
      </w:pPr>
    </w:p>
    <w:p>
      <w:pPr>
        <w:ind w:left="820" w:right="320" w:hanging="303"/>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preclinical studies, IND submissions and clinical trials, of our product candidate, or those of our competitors or our existing or future collaborators;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820" w:right="400" w:hanging="303"/>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820" w:right="660" w:hanging="303"/>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product candidate, preclinical studies, clinical trials, manufacturing process or sales and marketing terms or that of our competitors;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20" w:right="620" w:hanging="303"/>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820" w:right="380" w:hanging="303"/>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820" w:right="460" w:hanging="303"/>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 including announcement and expectation of additional financing efforts;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820" w:right="360" w:hanging="303"/>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17" w:lineRule="exact"/>
        <w:rPr>
          <w:rFonts w:ascii="Times New Roman" w:cs="Times New Roman" w:eastAsia="Times New Roman" w:hAnsi="Times New Roman"/>
          <w:sz w:val="18"/>
          <w:szCs w:val="18"/>
          <w:color w:val="auto"/>
        </w:rPr>
      </w:pPr>
    </w:p>
    <w:p>
      <w:pPr>
        <w:ind w:left="820" w:right="28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but not limited to, terrorist acts, acts of war, periods of widespread civil unrest, natural disasters, public health emergencies and other calamities.</w:t>
      </w:r>
    </w:p>
    <w:p>
      <w:pPr>
        <w:spacing w:after="0" w:line="54"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future issuance of equity or of debt securities that are convertible into equity will dilute our share capital.</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capital in the future. To the extent we raise additional capital through the issuance of equity or convertible debt securities in the future, there will be dilution to our existing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77"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product candidate,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Unstable market and economic conditions may have serious adverse consequences on our business, financial condition and share price.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bank failures, increases in inflation rates and uncertainty about economic stability. Any such volatility and disruptions may have adverse consequences for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Any significant increases in inflation and related increases in interest rates could have a material adverse effect on our business, results of operations and financial condition.</w:t>
      </w:r>
    </w:p>
    <w:p>
      <w:pPr>
        <w:spacing w:after="0" w:line="75"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May 13, 2026, our executive officers and directors, together with holders of five percent or more of our outstanding common stock and their respective affiliates, beneficially own approximately 30.2% of our outstanding common stock. As a result, these stockholders, if acting together,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and the reduced disclosure requirements applicable to us may make our common stock less attractive to investors.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earlier of (i) the last day of the fiscal year (a) following the fifth anniversary of the completion of our initial public offering (IPO), (b) in which we have total annual gross revenue of at least $1.235 billion or (c) in which we are deemed to be a large accelerated filer, which means the market value of our common stock that is held by non-affiliates exceeded $700 million as of the prior June 30th and (ii) the date on which we have issued more than $1.0 billion in non-convertible debt during the prior three-year period.</w:t>
      </w:r>
    </w:p>
    <w:p>
      <w:pPr>
        <w:spacing w:after="0" w:line="7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An emerging growth company may take advantage of specified reduced reporting requirements and other burdens that are otherwise applicable generally to public companies. These provisions include:</w:t>
      </w:r>
    </w:p>
    <w:p>
      <w:pPr>
        <w:spacing w:after="0" w:line="54" w:lineRule="exact"/>
        <w:rPr>
          <w:sz w:val="20"/>
          <w:szCs w:val="20"/>
          <w:color w:val="auto"/>
        </w:rPr>
      </w:pPr>
    </w:p>
    <w:p>
      <w:pPr>
        <w:ind w:left="820" w:right="320" w:hanging="303"/>
        <w:spacing w:after="0" w:line="312" w:lineRule="auto"/>
        <w:tabs>
          <w:tab w:leader="none" w:pos="8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1" w:lineRule="exact"/>
        <w:rPr>
          <w:rFonts w:ascii="Times New Roman" w:cs="Times New Roman" w:eastAsia="Times New Roman" w:hAnsi="Times New Roman"/>
          <w:sz w:val="17"/>
          <w:szCs w:val="17"/>
          <w:color w:val="auto"/>
        </w:rPr>
      </w:pPr>
    </w:p>
    <w:p>
      <w:pPr>
        <w:ind w:left="820" w:right="20" w:hanging="303"/>
        <w:spacing w:after="0" w:line="282"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or the Sarbanes-Oxley Act;</w:t>
      </w:r>
    </w:p>
    <w:p>
      <w:pPr>
        <w:spacing w:after="0" w:line="53" w:lineRule="exact"/>
        <w:rPr>
          <w:rFonts w:ascii="Times New Roman" w:cs="Times New Roman" w:eastAsia="Times New Roman" w:hAnsi="Times New Roman"/>
          <w:sz w:val="18"/>
          <w:szCs w:val="18"/>
          <w:color w:val="auto"/>
        </w:rPr>
      </w:pPr>
    </w:p>
    <w:p>
      <w:pPr>
        <w:ind w:left="820" w:right="160" w:hanging="303"/>
        <w:spacing w:after="0" w:line="282"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new requirements adopted by the Public Company Accounting Oversight Board regarding mandatory audit firm rotations;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17" w:lineRule="exact"/>
        <w:rPr>
          <w:rFonts w:ascii="Times New Roman" w:cs="Times New Roman" w:eastAsia="Times New Roman" w:hAnsi="Times New Roman"/>
          <w:sz w:val="18"/>
          <w:szCs w:val="18"/>
          <w:color w:val="auto"/>
        </w:rPr>
      </w:pPr>
    </w:p>
    <w:p>
      <w:pPr>
        <w:ind w:left="820" w:right="420" w:hanging="303"/>
        <w:spacing w:after="0" w:line="282"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 to hold a nonbinding advisory vote on executive compensation and to obtain stockholder approval of any golden parachute payments not previously approved.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certain reduced disclosure obligations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 The JOBS Act provides that an emerging growth company can take advantage of an extended transition period for complying with new or revised accounting standards applicable to public companies until those standards would otherwise apply to private companies. We have irrevocably elected not to avail ourself of this extended transition period, and, as a result, we will adopt new or revised accounting standards on the relevant dates on which adoption of such standards is required for other public companies.</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and will continue to be a smaller reporting company as long as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80"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under Delaware law would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5" w:lineRule="exact"/>
        <w:rPr>
          <w:sz w:val="20"/>
          <w:szCs w:val="20"/>
          <w:color w:val="auto"/>
        </w:rPr>
      </w:pPr>
    </w:p>
    <w:p>
      <w:pPr>
        <w:ind w:left="820" w:hanging="303"/>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820" w:right="140" w:hanging="303"/>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with 66 2/3% voting stock of our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ind w:left="820" w:hanging="303"/>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only the board of directors may change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71"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We have incurred and will continue to incur increased costs as a result of operating as a public company, and our management has and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emerging growth company or a smaller reporting company, we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devote a substantial amount of time to these compliance initiatives. Moreover, these rules and regulations have increased and will continue to increase our legal and financial compliance costs and will make some activities more time-consuming and costly. For example,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as a public company, we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or a smaller reporting company, we will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Nasdaq.</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U.S Securities and Exchange Commission.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our management’s attention.</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securities have been subject to securities class action litigation. We may be the target of this type of litigation in the future. In addition, securities class action lawsuits and derivative lawsuits are often brought against public companies that have entered into merger agreements. Even if the lawsuits are without merit, defending against these claims could result in substantial costs and divert management time and resources. We may be a target for securities and shareholder lawsuits in the future. Regardless of the merits or the ultimate results of such litigation, securities litigation brought against us could result in substantial costs and divert our management’s attention from other business concerns.</w:t>
      </w:r>
    </w:p>
    <w:p>
      <w:pPr>
        <w:spacing w:after="0" w:line="75"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another state court located within the State of Delaware, or the federal district court for the District of Delaware) shall be the sole and exclusive forum for the following types of proceedings: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or (5) any other action asserting an “internal corporate claim,” as defined in Section 115 of the Delaware General Corporation Law. This provision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U.S. will be the exclusive forum to the fullest extent permitted by law, for resolving any complaint asserting a cause of action arising under the Securities Act or the Exchange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 carryforwards and other tax attributes may be subject to limitations.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certain limitations (including the limitations described below) until such unused losses expire (if at all). As of December 31, 2025, our federal and state net operating losses (NOLs) in the United States were $82.1 million ($390.9 million before tax) and $14.3 million ($218.2 million before tax) respectively. The federal net operating loss carryforward generated in the United States after tax year 2017 can be carried forward indefinitely but may be subject to annual usage limitations to the extent certain substantial changes in the entity's ownership occur. The federal net operating loss carryforward relating to tax years prior to 2017 of $5.9 million ($28.3 million before tax), acquired through Apexigen, begin to expire in 2033. The state net operating loss carryforwards begin expiring in 2035. In addition, as of December 31, 2025, we had $10.0 million and $3.6 million of federal and state credit carryovers which begin to expire in 2030. These loss and credit carryforwards are subject to review and possible adjustment by the appropriate taxing authorities.</w:t>
      </w:r>
    </w:p>
    <w:p>
      <w:pPr>
        <w:spacing w:after="0" w:line="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NOL and credit carryforwards are subject to review and possible adjustment by the IRS, and state tax authorities. Under Section 382 of the Internal Revenue Code of 1986, as amended, or the Code, our federal NOL and credit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20"/>
        <w:spacing w:after="0" w:line="254" w:lineRule="auto"/>
        <w:rPr>
          <w:sz w:val="20"/>
          <w:szCs w:val="20"/>
          <w:color w:val="auto"/>
        </w:rPr>
      </w:pPr>
      <w:r>
        <w:rPr>
          <w:rFonts w:ascii="Times New Roman" w:cs="Times New Roman" w:eastAsia="Times New Roman" w:hAnsi="Times New Roman"/>
          <w:sz w:val="18"/>
          <w:szCs w:val="18"/>
          <w:color w:val="auto"/>
        </w:rPr>
        <w:t>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our IPO. Similar rules may apply under state tax laws. We have not yet determined the amount of the cumulative change in our ownership resulting from our IPO or other transactions, or any resulting limitations on our ability to utilize our NOL carryforwards and other tax attributes. In addition, we may experience ownership changes in the future due to subsequent shifts in our stock, some of which are outside of our control.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Trading arrangement</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16a-1(f) under the Exchange Act) adopted or terminated any “Rule 10b5-1 trading arrangement” or “non-Rule 10b5-1 trading arrangement,” as each term is defined in Item 408 of Regulation S-K for the purchase or sale of our securities, except as set forth below:</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120" w:type="dxa"/>
            <w:vAlign w:val="bottom"/>
            <w:tcBorders>
              <w:top w:val="single" w:sz="8" w:color="auto"/>
              <w:left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Adoption or</w:t>
            </w:r>
          </w:p>
        </w:tc>
        <w:tc>
          <w:tcPr>
            <w:tcW w:w="130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Description of Trading</w:t>
            </w:r>
          </w:p>
        </w:tc>
        <w:tc>
          <w:tcPr>
            <w:tcW w:w="0" w:type="dxa"/>
            <w:vAlign w:val="bottom"/>
          </w:tcPr>
          <w:p>
            <w:pPr>
              <w:spacing w:after="0"/>
              <w:rPr>
                <w:sz w:val="1"/>
                <w:szCs w:val="1"/>
                <w:color w:val="auto"/>
              </w:rPr>
            </w:pPr>
          </w:p>
        </w:tc>
      </w:tr>
      <w:tr>
        <w:trPr>
          <w:trHeight w:val="184"/>
        </w:trPr>
        <w:tc>
          <w:tcPr>
            <w:tcW w:w="2120" w:type="dxa"/>
            <w:vAlign w:val="bottom"/>
            <w:tcBorders>
              <w:left w:val="single" w:sz="8" w:color="auto"/>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Name and Title</w:t>
            </w:r>
          </w:p>
        </w:tc>
        <w:tc>
          <w:tcPr>
            <w:tcW w:w="16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Type of Plan</w:t>
            </w:r>
          </w:p>
        </w:tc>
        <w:tc>
          <w:tcPr>
            <w:tcW w:w="13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Termination</w:t>
            </w:r>
          </w:p>
        </w:tc>
        <w:tc>
          <w:tcPr>
            <w:tcW w:w="130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Plan Start Date</w:t>
            </w:r>
          </w:p>
        </w:tc>
        <w:tc>
          <w:tcPr>
            <w:tcW w:w="13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Plan End Date</w:t>
            </w:r>
          </w:p>
        </w:tc>
        <w:tc>
          <w:tcPr>
            <w:tcW w:w="1800" w:type="dxa"/>
            <w:vAlign w:val="bottom"/>
            <w:tcBorders>
              <w:right w:val="single" w:sz="8" w:color="auto"/>
            </w:tcBorders>
            <w:vMerge w:val="continue"/>
          </w:tcPr>
          <w:p>
            <w:pPr>
              <w:spacing w:after="0"/>
              <w:rPr>
                <w:sz w:val="16"/>
                <w:szCs w:val="16"/>
                <w:color w:val="auto"/>
              </w:rPr>
            </w:pPr>
          </w:p>
        </w:tc>
        <w:tc>
          <w:tcPr>
            <w:tcW w:w="17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Sold</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0" w:type="dxa"/>
            <w:vAlign w:val="bottom"/>
          </w:tcPr>
          <w:p>
            <w:pPr>
              <w:spacing w:after="0"/>
              <w:rPr>
                <w:sz w:val="1"/>
                <w:szCs w:val="1"/>
                <w:color w:val="auto"/>
              </w:rPr>
            </w:pPr>
          </w:p>
        </w:tc>
      </w:tr>
      <w:tr>
        <w:trPr>
          <w:trHeight w:val="71"/>
        </w:trPr>
        <w:tc>
          <w:tcPr>
            <w:tcW w:w="2120" w:type="dxa"/>
            <w:vAlign w:val="bottom"/>
            <w:tcBorders>
              <w:left w:val="single" w:sz="8" w:color="auto"/>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vMerge w:val="continue"/>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120" w:type="dxa"/>
            <w:vAlign w:val="bottom"/>
            <w:tcBorders>
              <w:top w:val="single" w:sz="8" w:color="auto"/>
              <w:left w:val="single" w:sz="8" w:color="CFF0FC"/>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Jitendra Wadhane, Principal</w:t>
            </w:r>
          </w:p>
        </w:tc>
        <w:tc>
          <w:tcPr>
            <w:tcW w:w="1600" w:type="dxa"/>
            <w:vAlign w:val="bottom"/>
            <w:tcBorders>
              <w:top w:val="single" w:sz="8" w:color="CFF0FC"/>
              <w:right w:val="single" w:sz="8" w:color="auto"/>
            </w:tcBorders>
            <w:shd w:val="clear" w:color="auto" w:fill="CFF0FC"/>
          </w:tcPr>
          <w:p>
            <w:pPr>
              <w:spacing w:after="0"/>
              <w:rPr>
                <w:sz w:val="15"/>
                <w:szCs w:val="15"/>
                <w:color w:val="auto"/>
              </w:rPr>
            </w:pPr>
          </w:p>
        </w:tc>
        <w:tc>
          <w:tcPr>
            <w:tcW w:w="1320" w:type="dxa"/>
            <w:vAlign w:val="bottom"/>
            <w:tcBorders>
              <w:top w:val="single" w:sz="8" w:color="CFF0FC"/>
              <w:right w:val="single" w:sz="8" w:color="auto"/>
            </w:tcBorders>
            <w:shd w:val="clear" w:color="auto" w:fill="CFF0FC"/>
          </w:tcPr>
          <w:p>
            <w:pPr>
              <w:spacing w:after="0"/>
              <w:rPr>
                <w:sz w:val="15"/>
                <w:szCs w:val="15"/>
                <w:color w:val="auto"/>
              </w:rPr>
            </w:pPr>
          </w:p>
        </w:tc>
        <w:tc>
          <w:tcPr>
            <w:tcW w:w="1300" w:type="dxa"/>
            <w:vAlign w:val="bottom"/>
            <w:tcBorders>
              <w:top w:val="single" w:sz="8" w:color="CFF0FC"/>
              <w:right w:val="single" w:sz="8" w:color="auto"/>
            </w:tcBorders>
            <w:shd w:val="clear" w:color="auto" w:fill="CFF0FC"/>
          </w:tcPr>
          <w:p>
            <w:pPr>
              <w:spacing w:after="0"/>
              <w:rPr>
                <w:sz w:val="15"/>
                <w:szCs w:val="15"/>
                <w:color w:val="auto"/>
              </w:rPr>
            </w:pPr>
          </w:p>
        </w:tc>
        <w:tc>
          <w:tcPr>
            <w:tcW w:w="1320" w:type="dxa"/>
            <w:vAlign w:val="bottom"/>
            <w:tcBorders>
              <w:top w:val="single" w:sz="8" w:color="CFF0FC"/>
              <w:right w:val="single" w:sz="8" w:color="auto"/>
            </w:tcBorders>
            <w:shd w:val="clear" w:color="auto" w:fill="CFF0FC"/>
          </w:tcPr>
          <w:p>
            <w:pPr>
              <w:spacing w:after="0"/>
              <w:rPr>
                <w:sz w:val="15"/>
                <w:szCs w:val="15"/>
                <w:color w:val="auto"/>
              </w:rPr>
            </w:pPr>
          </w:p>
        </w:tc>
        <w:tc>
          <w:tcPr>
            <w:tcW w:w="1800" w:type="dxa"/>
            <w:vAlign w:val="bottom"/>
            <w:tcBorders>
              <w:top w:val="single" w:sz="8" w:color="CFF0FC"/>
              <w:right w:val="single" w:sz="8" w:color="auto"/>
            </w:tcBorders>
            <w:shd w:val="clear" w:color="auto" w:fill="CFF0FC"/>
          </w:tcPr>
          <w:p>
            <w:pPr>
              <w:spacing w:after="0"/>
              <w:rPr>
                <w:sz w:val="15"/>
                <w:szCs w:val="15"/>
                <w:color w:val="auto"/>
              </w:rPr>
            </w:pPr>
          </w:p>
        </w:tc>
        <w:tc>
          <w:tcPr>
            <w:tcW w:w="1780" w:type="dxa"/>
            <w:vAlign w:val="bottom"/>
            <w:tcBorders>
              <w:top w:val="single" w:sz="8" w:color="CFF0FC"/>
              <w:right w:val="single" w:sz="8" w:color="auto"/>
            </w:tcBorders>
            <w:shd w:val="clear" w:color="auto" w:fill="CFF0FC"/>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Sales of shares intended</w:t>
            </w:r>
          </w:p>
        </w:tc>
        <w:tc>
          <w:tcPr>
            <w:tcW w:w="0" w:type="dxa"/>
            <w:vAlign w:val="bottom"/>
          </w:tcPr>
          <w:p>
            <w:pPr>
              <w:spacing w:after="0"/>
              <w:rPr>
                <w:sz w:val="1"/>
                <w:szCs w:val="1"/>
                <w:color w:val="auto"/>
              </w:rPr>
            </w:pPr>
          </w:p>
        </w:tc>
      </w:tr>
      <w:tr>
        <w:trPr>
          <w:trHeight w:val="180"/>
        </w:trPr>
        <w:tc>
          <w:tcPr>
            <w:tcW w:w="2120" w:type="dxa"/>
            <w:vAlign w:val="bottom"/>
            <w:tcBorders>
              <w:left w:val="single" w:sz="8" w:color="CFF0FC"/>
              <w:right w:val="single" w:sz="8" w:color="auto"/>
            </w:tcBorders>
            <w:vMerge w:val="continue"/>
            <w:shd w:val="clear" w:color="auto" w:fill="CFF0FC"/>
          </w:tcPr>
          <w:p>
            <w:pPr>
              <w:spacing w:after="0"/>
              <w:rPr>
                <w:sz w:val="15"/>
                <w:szCs w:val="15"/>
                <w:color w:val="auto"/>
              </w:rPr>
            </w:pPr>
          </w:p>
        </w:tc>
        <w:tc>
          <w:tcPr>
            <w:tcW w:w="1600" w:type="dxa"/>
            <w:vAlign w:val="bottom"/>
            <w:tcBorders>
              <w:right w:val="single" w:sz="8" w:color="auto"/>
            </w:tcBorders>
            <w:shd w:val="clear" w:color="auto" w:fill="CFF0FC"/>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Rule 10b5-1 trading</w:t>
            </w:r>
          </w:p>
        </w:tc>
        <w:tc>
          <w:tcPr>
            <w:tcW w:w="1320" w:type="dxa"/>
            <w:vAlign w:val="bottom"/>
            <w:tcBorders>
              <w:right w:val="single" w:sz="8" w:color="auto"/>
            </w:tcBorders>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Adopted on</w:t>
            </w:r>
          </w:p>
        </w:tc>
        <w:tc>
          <w:tcPr>
            <w:tcW w:w="1300" w:type="dxa"/>
            <w:vAlign w:val="bottom"/>
            <w:tcBorders>
              <w:right w:val="single" w:sz="8" w:color="auto"/>
            </w:tcBorders>
            <w:shd w:val="clear" w:color="auto" w:fill="CFF0FC"/>
          </w:tcPr>
          <w:p>
            <w:pPr>
              <w:spacing w:after="0"/>
              <w:rPr>
                <w:sz w:val="15"/>
                <w:szCs w:val="15"/>
                <w:color w:val="auto"/>
              </w:rPr>
            </w:pPr>
          </w:p>
        </w:tc>
        <w:tc>
          <w:tcPr>
            <w:tcW w:w="1320" w:type="dxa"/>
            <w:vAlign w:val="bottom"/>
            <w:tcBorders>
              <w:right w:val="single" w:sz="8" w:color="auto"/>
            </w:tcBorders>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December 15,</w:t>
            </w:r>
          </w:p>
        </w:tc>
        <w:tc>
          <w:tcPr>
            <w:tcW w:w="1800" w:type="dxa"/>
            <w:vAlign w:val="bottom"/>
            <w:tcBorders>
              <w:right w:val="single" w:sz="8" w:color="auto"/>
            </w:tcBorders>
            <w:shd w:val="clear" w:color="auto" w:fill="CFF0FC"/>
          </w:tcPr>
          <w:p>
            <w:pPr>
              <w:spacing w:after="0"/>
              <w:rPr>
                <w:sz w:val="15"/>
                <w:szCs w:val="15"/>
                <w:color w:val="auto"/>
              </w:rPr>
            </w:pPr>
          </w:p>
        </w:tc>
        <w:tc>
          <w:tcPr>
            <w:tcW w:w="1780" w:type="dxa"/>
            <w:vAlign w:val="bottom"/>
            <w:tcBorders>
              <w:right w:val="single" w:sz="8" w:color="auto"/>
            </w:tcBorders>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to satisfy the affirmative</w:t>
            </w:r>
          </w:p>
        </w:tc>
        <w:tc>
          <w:tcPr>
            <w:tcW w:w="0" w:type="dxa"/>
            <w:vAlign w:val="bottom"/>
          </w:tcPr>
          <w:p>
            <w:pPr>
              <w:spacing w:after="0"/>
              <w:rPr>
                <w:sz w:val="1"/>
                <w:szCs w:val="1"/>
                <w:color w:val="auto"/>
              </w:rPr>
            </w:pPr>
          </w:p>
        </w:tc>
      </w:tr>
      <w:tr>
        <w:trPr>
          <w:trHeight w:val="216"/>
        </w:trPr>
        <w:tc>
          <w:tcPr>
            <w:tcW w:w="2120" w:type="dxa"/>
            <w:vAlign w:val="bottom"/>
            <w:tcBorders>
              <w:left w:val="single" w:sz="8" w:color="CFF0FC"/>
              <w:right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9"/>
              </w:rPr>
              <w:t>Financial and Accounting</w:t>
            </w:r>
          </w:p>
        </w:tc>
        <w:tc>
          <w:tcPr>
            <w:tcW w:w="16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arrangement</w:t>
            </w:r>
          </w:p>
        </w:tc>
        <w:tc>
          <w:tcPr>
            <w:tcW w:w="13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25, 2026</w:t>
            </w:r>
          </w:p>
        </w:tc>
        <w:tc>
          <w:tcPr>
            <w:tcW w:w="1300" w:type="dxa"/>
            <w:vAlign w:val="bottom"/>
            <w:tcBorders>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March 25, 2026</w:t>
            </w:r>
          </w:p>
        </w:tc>
        <w:tc>
          <w:tcPr>
            <w:tcW w:w="13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8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98,148</w:t>
            </w:r>
          </w:p>
        </w:tc>
        <w:tc>
          <w:tcPr>
            <w:tcW w:w="17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defense of Rule 10b5–</w:t>
            </w:r>
          </w:p>
        </w:tc>
        <w:tc>
          <w:tcPr>
            <w:tcW w:w="0" w:type="dxa"/>
            <w:vAlign w:val="bottom"/>
          </w:tcPr>
          <w:p>
            <w:pPr>
              <w:spacing w:after="0"/>
              <w:rPr>
                <w:sz w:val="1"/>
                <w:szCs w:val="1"/>
                <w:color w:val="auto"/>
              </w:rPr>
            </w:pPr>
          </w:p>
        </w:tc>
      </w:tr>
      <w:tr>
        <w:trPr>
          <w:trHeight w:val="275"/>
        </w:trPr>
        <w:tc>
          <w:tcPr>
            <w:tcW w:w="2120" w:type="dxa"/>
            <w:vAlign w:val="bottom"/>
            <w:tcBorders>
              <w:left w:val="single" w:sz="8" w:color="CFF0FC"/>
              <w:bottom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600" w:type="dxa"/>
            <w:vAlign w:val="bottom"/>
            <w:tcBorders>
              <w:bottom w:val="single" w:sz="8" w:color="CFF0FC"/>
              <w:right w:val="single" w:sz="8" w:color="auto"/>
            </w:tcBorders>
            <w:shd w:val="clear" w:color="auto" w:fill="CFF0FC"/>
          </w:tcPr>
          <w:p>
            <w:pPr>
              <w:spacing w:after="0"/>
              <w:rPr>
                <w:sz w:val="23"/>
                <w:szCs w:val="23"/>
                <w:color w:val="auto"/>
              </w:rPr>
            </w:pPr>
          </w:p>
        </w:tc>
        <w:tc>
          <w:tcPr>
            <w:tcW w:w="1320" w:type="dxa"/>
            <w:vAlign w:val="bottom"/>
            <w:tcBorders>
              <w:bottom w:val="single" w:sz="8" w:color="CFF0FC"/>
              <w:right w:val="single" w:sz="8" w:color="auto"/>
            </w:tcBorders>
            <w:shd w:val="clear" w:color="auto" w:fill="CFF0FC"/>
          </w:tcPr>
          <w:p>
            <w:pPr>
              <w:spacing w:after="0"/>
              <w:rPr>
                <w:sz w:val="23"/>
                <w:szCs w:val="23"/>
                <w:color w:val="auto"/>
              </w:rPr>
            </w:pPr>
          </w:p>
        </w:tc>
        <w:tc>
          <w:tcPr>
            <w:tcW w:w="1300" w:type="dxa"/>
            <w:vAlign w:val="bottom"/>
            <w:tcBorders>
              <w:bottom w:val="single" w:sz="8" w:color="CFF0FC"/>
              <w:right w:val="single" w:sz="8" w:color="auto"/>
            </w:tcBorders>
            <w:shd w:val="clear" w:color="auto" w:fill="CFF0FC"/>
          </w:tcPr>
          <w:p>
            <w:pPr>
              <w:spacing w:after="0"/>
              <w:rPr>
                <w:sz w:val="23"/>
                <w:szCs w:val="23"/>
                <w:color w:val="auto"/>
              </w:rPr>
            </w:pPr>
          </w:p>
        </w:tc>
        <w:tc>
          <w:tcPr>
            <w:tcW w:w="1320" w:type="dxa"/>
            <w:vAlign w:val="bottom"/>
            <w:tcBorders>
              <w:bottom w:val="single" w:sz="8" w:color="CFF0FC"/>
              <w:right w:val="single" w:sz="8" w:color="auto"/>
            </w:tcBorders>
            <w:shd w:val="clear" w:color="auto" w:fill="CFF0FC"/>
          </w:tcPr>
          <w:p>
            <w:pPr>
              <w:spacing w:after="0"/>
              <w:rPr>
                <w:sz w:val="23"/>
                <w:szCs w:val="23"/>
                <w:color w:val="auto"/>
              </w:rPr>
            </w:pPr>
          </w:p>
        </w:tc>
        <w:tc>
          <w:tcPr>
            <w:tcW w:w="1800" w:type="dxa"/>
            <w:vAlign w:val="bottom"/>
            <w:tcBorders>
              <w:bottom w:val="single" w:sz="8" w:color="CFF0FC"/>
              <w:right w:val="single" w:sz="8" w:color="auto"/>
            </w:tcBorders>
            <w:shd w:val="clear" w:color="auto" w:fill="CFF0FC"/>
          </w:tcPr>
          <w:p>
            <w:pPr>
              <w:spacing w:after="0"/>
              <w:rPr>
                <w:sz w:val="23"/>
                <w:szCs w:val="23"/>
                <w:color w:val="auto"/>
              </w:rPr>
            </w:pPr>
          </w:p>
        </w:tc>
        <w:tc>
          <w:tcPr>
            <w:tcW w:w="1780" w:type="dxa"/>
            <w:vAlign w:val="bottom"/>
            <w:tcBorders>
              <w:bottom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1(c)</w:t>
            </w:r>
          </w:p>
        </w:tc>
        <w:tc>
          <w:tcPr>
            <w:tcW w:w="0" w:type="dxa"/>
            <w:vAlign w:val="bottom"/>
          </w:tcPr>
          <w:p>
            <w:pPr>
              <w:spacing w:after="0"/>
              <w:rPr>
                <w:sz w:val="1"/>
                <w:szCs w:val="1"/>
                <w:color w:val="auto"/>
              </w:rPr>
            </w:pPr>
          </w:p>
        </w:tc>
      </w:tr>
      <w:tr>
        <w:trPr>
          <w:trHeight w:val="858"/>
        </w:trPr>
        <w:tc>
          <w:tcPr>
            <w:tcW w:w="2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1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20" w:type="dxa"/>
            <w:vAlign w:val="bottom"/>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48"/>
        </w:trPr>
        <w:tc>
          <w:tcPr>
            <w:tcW w:w="6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jc w:val="center"/>
              <w:ind w:left="115"/>
              <w:spacing w:after="0" w:line="149" w:lineRule="exact"/>
              <w:rPr>
                <w:sz w:val="20"/>
                <w:szCs w:val="20"/>
                <w:color w:val="auto"/>
              </w:rPr>
            </w:pPr>
            <w:r>
              <w:rPr>
                <w:rFonts w:ascii="Times New Roman" w:cs="Times New Roman" w:eastAsia="Times New Roman" w:hAnsi="Times New Roman"/>
                <w:sz w:val="14"/>
                <w:szCs w:val="14"/>
                <w:b w:val="1"/>
                <w:bCs w:val="1"/>
                <w:color w:val="auto"/>
              </w:rPr>
              <w:t>Here</w:t>
            </w:r>
          </w:p>
        </w:tc>
      </w:tr>
      <w:tr>
        <w:trPr>
          <w:trHeight w:val="173"/>
        </w:trPr>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8"/>
              </w:rPr>
              <w:t>with</w:t>
            </w:r>
          </w:p>
        </w:tc>
      </w:tr>
      <w:tr>
        <w:trPr>
          <w:trHeight w:val="169"/>
        </w:trPr>
        <w:tc>
          <w:tcPr>
            <w:tcW w:w="6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556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General Release Agreement and Indemnification Agreement of Lara Sullivan</w:t>
            </w:r>
          </w:p>
        </w:tc>
        <w:tc>
          <w:tcPr>
            <w:tcW w:w="20" w:type="dxa"/>
            <w:vAlign w:val="bottom"/>
            <w:tcBorders>
              <w:bottom w:val="single" w:sz="8" w:color="0000EE"/>
            </w:tcBorders>
          </w:tcPr>
          <w:p>
            <w:pPr>
              <w:spacing w:after="0"/>
              <w:rPr>
                <w:sz w:val="14"/>
                <w:szCs w:val="14"/>
                <w:color w:val="auto"/>
              </w:rPr>
            </w:pPr>
          </w:p>
        </w:tc>
        <w:tc>
          <w:tcPr>
            <w:tcW w:w="64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jc w:val="center"/>
              <w:ind w:left="115"/>
              <w:spacing w:after="0" w:line="169"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Rules 13a-14(a) and 15d-14(a)</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center"/>
              <w:ind w:left="115"/>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under the Securities Exchange Act of 1934, as Adopted Pursuant to Section 302 of the</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center"/>
              <w:ind w:left="115"/>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under the Securities Exchange Act of 1934, as Adopted Pursuant to Section 302 of the</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center"/>
              <w:ind w:left="115"/>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center"/>
              <w:ind w:left="115"/>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8"/>
                <w:szCs w:val="18"/>
                <w:color w:val="auto"/>
              </w:rPr>
            </w:pPr>
          </w:p>
        </w:tc>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101.SC</w:t>
            </w:r>
          </w:p>
        </w:tc>
        <w:tc>
          <w:tcPr>
            <w:tcW w:w="140" w:type="dxa"/>
            <w:vAlign w:val="bottom"/>
          </w:tcPr>
          <w:p>
            <w:pPr>
              <w:spacing w:after="0"/>
              <w:rPr>
                <w:sz w:val="18"/>
                <w:szCs w:val="18"/>
                <w:color w:val="auto"/>
              </w:rPr>
            </w:pPr>
          </w:p>
        </w:tc>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1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Pyxis Oncology,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5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Thomas Civik</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Civik</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432"/>
        </w:trPr>
        <w:tc>
          <w:tcPr>
            <w:tcW w:w="3500" w:type="dxa"/>
            <w:vAlign w:val="bottom"/>
          </w:tcPr>
          <w:p>
            <w:pPr>
              <w:spacing w:after="0"/>
              <w:rPr>
                <w:sz w:val="24"/>
                <w:szCs w:val="24"/>
                <w:color w:val="auto"/>
              </w:rPr>
            </w:pPr>
          </w:p>
        </w:tc>
        <w:tc>
          <w:tcPr>
            <w:tcW w:w="25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Jitendra Wadhane</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Jitendra Wadhane</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3500" w:type="dxa"/>
            <w:vAlign w:val="bottom"/>
          </w:tcPr>
          <w:p>
            <w:pPr>
              <w:spacing w:after="0"/>
              <w:rPr>
                <w:sz w:val="24"/>
                <w:szCs w:val="24"/>
                <w:color w:val="auto"/>
              </w:rPr>
            </w:pPr>
          </w:p>
        </w:tc>
        <w:tc>
          <w:tcPr>
            <w:tcW w:w="2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w:t>
            </w:r>
          </w:p>
        </w:tc>
        <w:tc>
          <w:tcPr>
            <w:tcW w:w="522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center"/>
        <w:ind w:right="220"/>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AGREEMENT</w:t>
      </w:r>
    </w:p>
    <w:p>
      <w:pPr>
        <w:spacing w:after="0" w:line="200" w:lineRule="exact"/>
        <w:rPr>
          <w:sz w:val="20"/>
          <w:szCs w:val="20"/>
          <w:color w:val="auto"/>
        </w:rPr>
      </w:pPr>
    </w:p>
    <w:p>
      <w:pPr>
        <w:spacing w:after="0" w:line="285" w:lineRule="exact"/>
        <w:rPr>
          <w:sz w:val="20"/>
          <w:szCs w:val="20"/>
          <w:color w:val="auto"/>
        </w:rPr>
      </w:pPr>
    </w:p>
    <w:p>
      <w:pPr>
        <w:jc w:val="both"/>
        <w:ind w:right="38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GENERAL RELEASE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April 22, 2026 (the “</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and between </w:t>
      </w:r>
      <w:r>
        <w:rPr>
          <w:rFonts w:ascii="Times New Roman" w:cs="Times New Roman" w:eastAsia="Times New Roman" w:hAnsi="Times New Roman"/>
          <w:sz w:val="18"/>
          <w:szCs w:val="18"/>
          <w:b w:val="1"/>
          <w:bCs w:val="1"/>
          <w:color w:val="auto"/>
        </w:rPr>
        <w:t>PYXIS ONCOLOGY, INC.</w:t>
      </w:r>
      <w:r>
        <w:rPr>
          <w:rFonts w:ascii="Times New Roman" w:cs="Times New Roman" w:eastAsia="Times New Roman" w:hAnsi="Times New Roman"/>
          <w:sz w:val="18"/>
          <w:szCs w:val="18"/>
          <w:color w:val="auto"/>
        </w:rPr>
        <w:t>, having an address at 321 Harrison Avenue, 11th Floor, Suite 1, Boston MA 02118 (“</w:t>
      </w:r>
      <w:r>
        <w:rPr>
          <w:rFonts w:ascii="Times New Roman" w:cs="Times New Roman" w:eastAsia="Times New Roman" w:hAnsi="Times New Roman"/>
          <w:sz w:val="18"/>
          <w:szCs w:val="18"/>
          <w:b w:val="1"/>
          <w:bCs w:val="1"/>
          <w:i w:val="1"/>
          <w:iCs w:val="1"/>
          <w:color w:val="auto"/>
        </w:rPr>
        <w:t>Pyxis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LARA SULLIVAN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3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set forth in this Agreement the terms upon which they have mutually agreed to an orderly cessation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with Pyxis and Employee’s service on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agreements and other consideration contained in this Agreement, the parties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760" w:hanging="3"/>
        <w:spacing w:after="0" w:line="286" w:lineRule="auto"/>
        <w:tabs>
          <w:tab w:leader="none" w:pos="1029"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to resign as a member of the Board effective as of the Effective Date and agrees to sign the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attached hereto on the Effective Date.</w:t>
      </w:r>
    </w:p>
    <w:p>
      <w:pPr>
        <w:spacing w:after="0" w:line="154"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12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 and Other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exchange for Employee’s execution of this Agreement no later than 12:00 p.m. ET on April 22,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non-revocation of this Agreement, Pyxis agrees to provide Employee the severance benefits described in Section 2(a) through Section 2(e) (collectively, the “Severance Benefits”), which is inclusive of the severance benefits set forth in Section 5.b.i of the Amended and Restated Offer Letter between Pyxis and Employee dated October 18, 2022 (the “Employment Agreement”).</w:t>
      </w:r>
    </w:p>
    <w:p>
      <w:pPr>
        <w:spacing w:after="0" w:line="180" w:lineRule="exact"/>
        <w:rPr>
          <w:rFonts w:ascii="Times New Roman" w:cs="Times New Roman" w:eastAsia="Times New Roman" w:hAnsi="Times New Roman"/>
          <w:sz w:val="18"/>
          <w:szCs w:val="18"/>
          <w:b w:val="1"/>
          <w:bCs w:val="1"/>
          <w:color w:val="auto"/>
        </w:rPr>
      </w:pPr>
    </w:p>
    <w:p>
      <w:pPr>
        <w:ind w:firstLine="1387"/>
        <w:spacing w:after="0" w:line="253" w:lineRule="auto"/>
        <w:tabs>
          <w:tab w:leader="none" w:pos="18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severance payments equal to eighteen (18) months of Employee’s final monthly base salary (the total severance amount of $970,312.50) (the “</w:t>
      </w:r>
      <w:r>
        <w:rPr>
          <w:rFonts w:ascii="Times New Roman" w:cs="Times New Roman" w:eastAsia="Times New Roman" w:hAnsi="Times New Roman"/>
          <w:sz w:val="18"/>
          <w:szCs w:val="18"/>
          <w:b w:val="1"/>
          <w:bCs w:val="1"/>
          <w:i w:val="1"/>
          <w:iCs w:val="1"/>
          <w:color w:val="auto"/>
        </w:rPr>
        <w:t>Severance Payment</w:t>
      </w:r>
      <w:r>
        <w:rPr>
          <w:rFonts w:ascii="Times New Roman" w:cs="Times New Roman" w:eastAsia="Times New Roman" w:hAnsi="Times New Roman"/>
          <w:sz w:val="18"/>
          <w:szCs w:val="18"/>
          <w:color w:val="auto"/>
        </w:rPr>
        <w:t>”), payable subject to required payroll deductions and withholdings as follows: (i) $323,437.50 of the Severance Payment will be paid to Employee in a lump sum payment on the Company’s next regular payroll date after the Effective Date (“</w:t>
      </w:r>
      <w:r>
        <w:rPr>
          <w:rFonts w:ascii="Times New Roman" w:cs="Times New Roman" w:eastAsia="Times New Roman" w:hAnsi="Times New Roman"/>
          <w:sz w:val="18"/>
          <w:szCs w:val="18"/>
          <w:b w:val="1"/>
          <w:bCs w:val="1"/>
          <w:i w:val="1"/>
          <w:i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and (ii) the remaining portion of the Severance Payment, in the aggregate amount of $646,875.00, shall be paid to Employee in semi-monthly installments in accordance with the Company’s regular payroll schedule in effect over the twelve (12) month period following the last date of Employee’s employment on February 2, 2026 (the “</w:t>
      </w:r>
      <w:r>
        <w:rPr>
          <w:rFonts w:ascii="Times New Roman" w:cs="Times New Roman" w:eastAsia="Times New Roman" w:hAnsi="Times New Roman"/>
          <w:sz w:val="18"/>
          <w:szCs w:val="18"/>
          <w:b w:val="1"/>
          <w:bCs w:val="1"/>
          <w:i w:val="1"/>
          <w:iCs w:val="1"/>
          <w:color w:val="auto"/>
        </w:rPr>
        <w:t>Separation Date</w:t>
      </w:r>
      <w:r>
        <w:rPr>
          <w:rFonts w:ascii="Times New Roman" w:cs="Times New Roman" w:eastAsia="Times New Roman" w:hAnsi="Times New Roman"/>
          <w:sz w:val="18"/>
          <w:szCs w:val="18"/>
          <w:color w:val="auto"/>
        </w:rPr>
        <w:t>”) with the First Payment Date to include the amounts that would have been paid following such termination of employment but were delayed subject to the effectiveness of this Agreement and the remainder to be paid in installments through the one year anniversary of the Separation Date. Further, consistent with the Employment Agreement, if a Change in Control (as defined in the Employment Agreement) occurs on or prior to May 2, 2026, a payment equal to (i) eighteen months of Base Salary minus the Severance Payment that Employee has already received; and (ii) 100% of Employee’s Target Bonus as of the Separation Date (60% of Employee’s final Base Salary), shall be payable to Employee as a single lump sum payment within sixty (60) days following the Change in Control.</w:t>
      </w:r>
    </w:p>
    <w:p>
      <w:pPr>
        <w:spacing w:after="0" w:line="191" w:lineRule="exact"/>
        <w:rPr>
          <w:rFonts w:ascii="Times New Roman" w:cs="Times New Roman" w:eastAsia="Times New Roman" w:hAnsi="Times New Roman"/>
          <w:sz w:val="18"/>
          <w:szCs w:val="18"/>
          <w:color w:val="auto"/>
        </w:rPr>
      </w:pPr>
    </w:p>
    <w:p>
      <w:pPr>
        <w:ind w:right="100" w:firstLine="1387"/>
        <w:spacing w:after="0" w:line="255" w:lineRule="auto"/>
        <w:tabs>
          <w:tab w:leader="none" w:pos="18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elects to continue Employee’s health insurance coverage pursuant to Employee’s rights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the Company shall reimburse Employee’s monthly premium under COBRA on a monthly basis until the earliest to occur of the following: (i) twelve (12) ACTIVE/205972298.3 months following the Separation Date, (ii) the date upon which Employee commences employment that provides Employee with eligibility for healthcare benefits substantially comparable to those provided by Pyxis, (iii) the date Employee ceases to be eligible for COBRA continuation coverage for any reason. In the event Employee commences employment that provides Employee with eligibility for healthcare benefits substantially comparable to those provided by Pyxis, Employee must immediately notify Pyxis of such event.</w:t>
      </w:r>
    </w:p>
    <w:p>
      <w:pPr>
        <w:spacing w:after="0" w:line="188" w:lineRule="exact"/>
        <w:rPr>
          <w:rFonts w:ascii="Times New Roman" w:cs="Times New Roman" w:eastAsia="Times New Roman" w:hAnsi="Times New Roman"/>
          <w:sz w:val="18"/>
          <w:szCs w:val="18"/>
          <w:color w:val="auto"/>
        </w:rPr>
      </w:pPr>
    </w:p>
    <w:p>
      <w:pPr>
        <w:ind w:right="120" w:firstLine="1387"/>
        <w:spacing w:after="0" w:line="258" w:lineRule="auto"/>
        <w:tabs>
          <w:tab w:leader="none" w:pos="18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Company’s 2021 Equity Incentive Plan, as such plan may be and has been amended, modified or replaced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Company shall grant Employee 381,067 shares of the Company’s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as an “Other Stock Award” under Section 3.4 of the Plan on or prior to the Effective Date. The Shares will be issued immediately upon grant, and shall be fully vested and nonforfeitable on the date of grant. As of condition of the grant of the Shares, Employee will make satisfactory arrangements with the Company regarding any required withholding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1" w:name="page72"/>
    <w:bookmarkEnd w:id="71"/>
    <w:p>
      <w:pPr>
        <w:spacing w:after="0" w:line="190" w:lineRule="exact"/>
        <w:rPr>
          <w:sz w:val="20"/>
          <w:szCs w:val="20"/>
          <w:color w:val="auto"/>
        </w:rPr>
      </w:pPr>
    </w:p>
    <w:p>
      <w:pPr>
        <w:ind w:right="20" w:firstLine="1387"/>
        <w:spacing w:after="0" w:line="259" w:lineRule="auto"/>
        <w:tabs>
          <w:tab w:leader="none" w:pos="182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currently the holder of certain stock options, RSUs and other equity (collectively, the “</w:t>
      </w: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color w:val="auto"/>
        </w:rPr>
        <w:t>”) under the Plan or any other applicable equity plan and the applicable award agreements (collectively, the “</w:t>
      </w:r>
      <w:r>
        <w:rPr>
          <w:rFonts w:ascii="Times New Roman" w:cs="Times New Roman" w:eastAsia="Times New Roman" w:hAnsi="Times New Roman"/>
          <w:sz w:val="18"/>
          <w:szCs w:val="18"/>
          <w:b w:val="1"/>
          <w:bCs w:val="1"/>
          <w:i w:val="1"/>
          <w:iCs w:val="1"/>
          <w:color w:val="auto"/>
        </w:rPr>
        <w:t>Equity Documents</w:t>
      </w:r>
      <w:r>
        <w:rPr>
          <w:rFonts w:ascii="Times New Roman" w:cs="Times New Roman" w:eastAsia="Times New Roman" w:hAnsi="Times New Roman"/>
          <w:sz w:val="18"/>
          <w:szCs w:val="18"/>
          <w:color w:val="auto"/>
        </w:rPr>
        <w:t xml:space="preserve">”). Any unvested portion of the Awards shall accelerate and vest in full effective as of the Effective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parties acknowledge and agree that Employee’s unvested RSUs are subject to a deferral election (each, an “</w:t>
      </w:r>
      <w:r>
        <w:rPr>
          <w:rFonts w:ascii="Times New Roman" w:cs="Times New Roman" w:eastAsia="Times New Roman" w:hAnsi="Times New Roman"/>
          <w:sz w:val="18"/>
          <w:szCs w:val="18"/>
          <w:b w:val="1"/>
          <w:bCs w:val="1"/>
          <w:i w:val="1"/>
          <w:iCs w:val="1"/>
          <w:color w:val="auto"/>
        </w:rPr>
        <w:t>RSU Deferral Election Form</w:t>
      </w:r>
      <w:r>
        <w:rPr>
          <w:rFonts w:ascii="Times New Roman" w:cs="Times New Roman" w:eastAsia="Times New Roman" w:hAnsi="Times New Roman"/>
          <w:sz w:val="18"/>
          <w:szCs w:val="18"/>
          <w:color w:val="auto"/>
        </w:rPr>
        <w:t>”) made under the Company’s Nonqualified Deferred Compensation Plan (the “</w:t>
      </w:r>
      <w:r>
        <w:rPr>
          <w:rFonts w:ascii="Times New Roman" w:cs="Times New Roman" w:eastAsia="Times New Roman" w:hAnsi="Times New Roman"/>
          <w:sz w:val="18"/>
          <w:szCs w:val="18"/>
          <w:b w:val="1"/>
          <w:bCs w:val="1"/>
          <w:i w:val="1"/>
          <w:iCs w:val="1"/>
          <w:color w:val="auto"/>
        </w:rPr>
        <w:t>NQDC Plan</w:t>
      </w:r>
      <w:r>
        <w:rPr>
          <w:rFonts w:ascii="Times New Roman" w:cs="Times New Roman" w:eastAsia="Times New Roman" w:hAnsi="Times New Roman"/>
          <w:sz w:val="18"/>
          <w:szCs w:val="18"/>
          <w:color w:val="auto"/>
        </w:rPr>
        <w:t>”) and shall be settled in accordance with the NQDC Plan and the applicable RSU Deferral Election Form</w:t>
      </w:r>
    </w:p>
    <w:p>
      <w:pPr>
        <w:spacing w:after="0" w:line="183" w:lineRule="exact"/>
        <w:rPr>
          <w:rFonts w:ascii="Times New Roman" w:cs="Times New Roman" w:eastAsia="Times New Roman" w:hAnsi="Times New Roman"/>
          <w:sz w:val="18"/>
          <w:szCs w:val="18"/>
          <w:color w:val="auto"/>
        </w:rPr>
      </w:pPr>
    </w:p>
    <w:p>
      <w:pPr>
        <w:ind w:right="40" w:firstLine="1387"/>
        <w:spacing w:after="0" w:line="256" w:lineRule="auto"/>
        <w:tabs>
          <w:tab w:leader="none" w:pos="182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Equity Documents, the Company hereby extends the period to exercise all vested stock options until the earliest to occur of: (i) December 31, 2030, (ii) immediately prior to a Change in Control (as defined in the Plan), and (iii) the original expiration of the term of each applicable stock option. Notwithstanding anything to the contrary in this Agreement, and for the avoidance of doubt, in no event shall the exercise period of any stock option be extended beyond the date that is ten (10) years from the original date of grant, and no extension shall apply to any portion of an option to the extent such extension would cause the option to be treated as deferred compensation subject to Section 409A of the Code.</w:t>
      </w:r>
    </w:p>
    <w:p>
      <w:pPr>
        <w:spacing w:after="0" w:line="187" w:lineRule="exact"/>
        <w:rPr>
          <w:rFonts w:ascii="Times New Roman" w:cs="Times New Roman" w:eastAsia="Times New Roman" w:hAnsi="Times New Roman"/>
          <w:sz w:val="18"/>
          <w:szCs w:val="18"/>
          <w:color w:val="auto"/>
        </w:rPr>
      </w:pPr>
    </w:p>
    <w:p>
      <w:pPr>
        <w:ind w:right="120" w:firstLine="1387"/>
        <w:spacing w:after="0" w:line="266" w:lineRule="auto"/>
        <w:tabs>
          <w:tab w:leader="none" w:pos="182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Agreement, the Equity Documents shall remain in full force and effect, including provisions governing method of exercise, withholding, and administration. No extension or acceleration provided for herein shall be treated as the grant of a new award or as modifying any option’s exercise price or underlying shares.</w:t>
      </w:r>
    </w:p>
    <w:p>
      <w:pPr>
        <w:spacing w:after="0" w:line="279" w:lineRule="exact"/>
        <w:rPr>
          <w:rFonts w:ascii="Times New Roman" w:cs="Times New Roman" w:eastAsia="Times New Roman" w:hAnsi="Times New Roman"/>
          <w:sz w:val="18"/>
          <w:szCs w:val="18"/>
          <w:color w:val="auto"/>
        </w:rPr>
      </w:pPr>
    </w:p>
    <w:p>
      <w:pPr>
        <w:jc w:val="both"/>
        <w:ind w:firstLine="757"/>
        <w:spacing w:after="0" w:line="252" w:lineRule="auto"/>
        <w:tabs>
          <w:tab w:leader="none" w:pos="1109"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Mutual Releases.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for the Severance Benefits pursuant to Section 2 above, Employee, on behalf of Employee,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heirs, executors, administrators, successors and assigns, hereby releases, acquits and forever discharges Pyxis and any and all of its current or former subsidiaries and other affiliated entities and benefit plans, as well as its and/or their officers, directors, representatives, attorneys, agents, servants, employees, stockholders, successors, predecessors and affiliates, each in their respective capacities from any and all claims, liabilities, demands, causes of action, costs, expenses, attorneys’ fees, damages, indemnities and obligations of every kind and nature, in law, in equity or otherwise, known or unknown, suspected and unsuspected, disclosed and undisclosed, arising out of or in any way related to agreements, acts or conduct at any time as of or prior the Execution Date, including, but not limited to: all such claims under the Massachusetts Fair Employment Practices Act; all such claims or demands arising from Employee’s employment or the termination of Employee’s employment; all such claims and demands related to salary, bonuses, commissions, stock, stock options (except the Employee’s rights under this Agreement and with respect to the vested Awards), expense reimbursements or any form of compensation (except the Employee’s rights under this Agreement); claims pursuant to any federal, state or local law or cause of action including, but not limited to, the Federal Civil Rights Acts of 1964, as amended, the Age Discrimination in Employment Act of 1967, as amended (“ADEA”); statutory wage and hour claims under Massachusetts (including but not limited to claims for violation of the Massachusetts Wage Act); claims under any law or legal principle of similar effect in any other relevant jurisdiction; contract claims; tort claims; or claims of wrongful discharge, discrimination, fraud, defamation, and emotional distress. Employee further agrees not to sue or otherwise institute or cause to be instituted or in any way voluntarily participate in the prosecution of any complaints or charges against any persons or entities released herein in any federal, state or other court, administrative agency or other forum concerning any claims released herein. Notwithstanding the foregoing, this release by Employee excludes (i) any rights to the Severance Benefits;</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rights to vested accrued benefits and compensation under the Company’s applicable plans and arrangements (including with respect to the Awards),</w:t>
      </w:r>
    </w:p>
    <w:p>
      <w:pPr>
        <w:spacing w:after="0" w:line="20" w:lineRule="exact"/>
        <w:rPr>
          <w:rFonts w:ascii="Times New Roman" w:cs="Times New Roman" w:eastAsia="Times New Roman" w:hAnsi="Times New Roman"/>
          <w:sz w:val="17"/>
          <w:szCs w:val="17"/>
          <w:color w:val="auto"/>
        </w:rPr>
      </w:pPr>
    </w:p>
    <w:p>
      <w:pPr>
        <w:ind w:firstLine="8"/>
        <w:spacing w:after="0" w:line="260"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indemnification by the Company or its affiliates pursuant to the Indemnification Agreement (defined below); and (iv) any right to coverage under applicable directors’ and officers’ or other third party liability insurance policies.</w:t>
      </w:r>
    </w:p>
    <w:p>
      <w:pPr>
        <w:spacing w:after="0" w:line="181" w:lineRule="exact"/>
        <w:rPr>
          <w:sz w:val="20"/>
          <w:szCs w:val="20"/>
          <w:color w:val="auto"/>
        </w:rPr>
      </w:pPr>
    </w:p>
    <w:p>
      <w:pPr>
        <w:jc w:val="both"/>
        <w:ind w:right="380" w:firstLine="749"/>
        <w:spacing w:after="0" w:line="256" w:lineRule="auto"/>
        <w:rPr>
          <w:sz w:val="20"/>
          <w:szCs w:val="20"/>
          <w:color w:val="auto"/>
        </w:rPr>
      </w:pPr>
      <w:r>
        <w:rPr>
          <w:rFonts w:ascii="Times New Roman" w:cs="Times New Roman" w:eastAsia="Times New Roman" w:hAnsi="Times New Roman"/>
          <w:sz w:val="18"/>
          <w:szCs w:val="18"/>
          <w:color w:val="auto"/>
        </w:rPr>
        <w:t>Excluded from this Agreement are any claims which by law cannot be waived in a private agreement between an employer and employee, including claims by Employee for workers’ compensation benefits or unemployment insurance benefits. This Release does not prohibit Employee from filing a charge with the Equal Employment Opportunity Commission (the “EEOC”) or equivalent state agency in Employee’s state or participating in an EEOC or state agency investigation. Employee agrees to waive her right to monetary or other recovery should any claim be pursued with the EEOC, state agency, or any other federal, state or local administrative agency on her behalf arising out of or related to her employment with and/or separation from Pyxis,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if this waiver is allowed by applicable law; provided, however, that this Agreement does not limit Employee’s right to receive an award for information provided to the Securities and Exchange Commission or to receive a monetary award from a government-administered whistleblower award program.</w:t>
      </w:r>
    </w:p>
    <w:p>
      <w:pPr>
        <w:spacing w:after="0" w:line="176" w:lineRule="exact"/>
        <w:rPr>
          <w:sz w:val="20"/>
          <w:szCs w:val="20"/>
          <w:color w:val="auto"/>
        </w:rPr>
      </w:pPr>
    </w:p>
    <w:p>
      <w:pPr>
        <w:jc w:val="both"/>
        <w:ind w:right="380" w:firstLine="749"/>
        <w:spacing w:after="0" w:line="261" w:lineRule="auto"/>
        <w:rPr>
          <w:sz w:val="20"/>
          <w:szCs w:val="20"/>
          <w:color w:val="auto"/>
        </w:rPr>
      </w:pPr>
      <w:r>
        <w:rPr>
          <w:rFonts w:ascii="Times New Roman" w:cs="Times New Roman" w:eastAsia="Times New Roman" w:hAnsi="Times New Roman"/>
          <w:sz w:val="18"/>
          <w:szCs w:val="18"/>
          <w:color w:val="auto"/>
        </w:rPr>
        <w:t>To the maximum extent permitted by law, the Company irrevocably and unconditionally releases and discharges Employee from any and all known and unknown rights, charges, complaints, claims, liabilities, obligations, damages, causes of action, lawsuits, costs and expenses (including attorney's fees and costs) that are civil in nature or unrelated to fraud or embezzlement arising out of or in any way connected to Employee’s employment with or separation from the Company.</w:t>
      </w:r>
    </w:p>
    <w:p>
      <w:pPr>
        <w:spacing w:after="0" w:line="176" w:lineRule="exact"/>
        <w:rPr>
          <w:sz w:val="20"/>
          <w:szCs w:val="20"/>
          <w:color w:val="auto"/>
        </w:rPr>
      </w:pPr>
    </w:p>
    <w:p>
      <w:pPr>
        <w:jc w:val="both"/>
        <w:ind w:firstLine="757"/>
        <w:spacing w:after="0" w:line="268" w:lineRule="auto"/>
        <w:tabs>
          <w:tab w:leader="none" w:pos="110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Release of Unknown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that the general release above is intended to include claims that Employee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or suspect to exist at the time of Employee’s execution of this Agreement, regardless of whether the knowledge of such claims would have affected Employee’s decision to execute this Agreement.</w:t>
      </w:r>
    </w:p>
    <w:p>
      <w:pPr>
        <w:spacing w:after="0" w:line="170" w:lineRule="exact"/>
        <w:rPr>
          <w:rFonts w:ascii="Times New Roman" w:cs="Times New Roman" w:eastAsia="Times New Roman" w:hAnsi="Times New Roman"/>
          <w:sz w:val="18"/>
          <w:szCs w:val="18"/>
          <w:b w:val="1"/>
          <w:bCs w:val="1"/>
          <w:color w:val="auto"/>
        </w:rPr>
      </w:pPr>
    </w:p>
    <w:p>
      <w:pPr>
        <w:jc w:val="both"/>
        <w:ind w:firstLine="757"/>
        <w:spacing w:after="0" w:line="255" w:lineRule="auto"/>
        <w:tabs>
          <w:tab w:leader="none" w:pos="112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Other Compensation; Indemnification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the Employment Agreement, Employee acknowledges that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reimbursed for all business expenses as of the date of termination of employment in accordance with Pyxis’s reimbursement policies (the “Expense Reimbursement”). Employee hereby represents that, as of the date of this Agreement, Employee has been paid all compensation, expense reimbursements, and wages owed for all time worked and services rendered through the effective date of Employee’s termination from employment with the Company. Pyxis and Employee agree that the provisions and obligations set forth in the Director and Officer Indemnification Agreement attached hereto as Exhibit A are effective as of October 8, 2021 (the “Indemnification Agreement”) and that Employee is not entitled to reimbursement for any legal fees incurred by Employee in connection with the cessation of Employee’s employment with Pyxis or Employee’s service on the Board, the drafting or negotiation of this Agreement, and any claims or disputes between Pyxis and Employee arising at any time as of or prior the Execution Date.</w:t>
      </w:r>
    </w:p>
    <w:p>
      <w:pPr>
        <w:spacing w:after="0" w:line="184"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109"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Proprietary Information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further agrees that the provisions and obligations set forth in the Proprietary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Inventions Agreement between Pyxis and Employee, effective as of December 2, 2019, attached hereto as Exhibit B (the “Proprietary Information Agreement”), shall be binding on Employee and Employee agrees to comply with such obligations, provided, Section 4(d)(iii) (the Post-Termination Non-Compete Restrictions, as defined in the Proprietary Information Agreement) shall have no effect. Notwithstanding anything to the contrary in the Proprietary Information Agreement, Pyxis agrees that Section 4(d)(ii) of the Proprietary Information Agreement will not preclude Employee from soliciting a Business Partner (as defined in the Proprietary Information Agreement) so long as Employee does not interfere with any Business Partner’s relationship with Pyxis or induce any Business Partner to terminate or materially reduce or alter such Business Partner’s relationship with Pyxis.</w:t>
      </w:r>
    </w:p>
    <w:p>
      <w:pPr>
        <w:spacing w:after="0" w:line="182"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12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understands and agrees that nothing contained in this Agreement is to be considered an admission by Pyxis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any wrongdoing under any federal, state or local statute, regulation, public policy, tort law, contract law, common law.</w:t>
      </w:r>
    </w:p>
    <w:p>
      <w:pPr>
        <w:spacing w:after="0" w:line="154"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20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Employee acknowledges that she has read and understands this Agreement and executes it knowingly, voluntarily and without coercion and is knowingly and voluntarily waiving and releasing any rights Employee may have under the ADEA (the “ADEA Waiver”), that the consideration given for this ADEA Waiver is in addition to anything of value to which Employee is already entitled, and that the ADEA Waiver does not apply to any rights or claims that may arise after the date that Employee signs this Agreement. Employee acknowledges that she is being advised herein in writing to consult with an attorney prior to executing this Agreement, that she has consulted with an attorney, and she has been given a period of at least 21 days within which to consider and execute this Agreement, unless she voluntarily chooses to execute this Agreement before the end of the 21 day period. Any modification of this Agreement, whether material or immaterial, will not restart the foregoing 21-day calendar day consideration period, and Employee hereby waives the right to restart such consideration period. Employee understands that she has 7 days following her execution of this Agreement to revoke her execution of this Agreement. The “Effective Date” of this Agreement shall be the 8th day after it is executed and has not been revoked. For any revocation to be effective, written notice of revocation must be delivered to Pyxis Oncology, attention: Donna Regalado,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of Human Resources, at dregalado@pyxisoncology.com, no later than 5:00 p.m. ET on the 7th calendar day after Employee signs this Agreement. If Employee revokes this Agreement, it shall not be effective or enforceable and she shall not receive the benefits described herein. No payments shall be made under the terms of this Agreement until the 7-day revocation period described in this paragraph has expired without revocation by Employee.</w:t>
      </w:r>
    </w:p>
    <w:p>
      <w:pPr>
        <w:spacing w:after="0" w:line="176" w:lineRule="exact"/>
        <w:rPr>
          <w:sz w:val="20"/>
          <w:szCs w:val="20"/>
          <w:color w:val="auto"/>
        </w:rPr>
      </w:pPr>
    </w:p>
    <w:p>
      <w:pPr>
        <w:jc w:val="both"/>
        <w:ind w:firstLine="757"/>
        <w:spacing w:after="0" w:line="253" w:lineRule="auto"/>
        <w:tabs>
          <w:tab w:leader="none" w:pos="1109"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Protected Communications</w:t>
      </w:r>
      <w:r>
        <w:rPr>
          <w:rFonts w:ascii="Times New Roman" w:cs="Times New Roman" w:eastAsia="Times New Roman" w:hAnsi="Times New Roman"/>
          <w:sz w:val="18"/>
          <w:szCs w:val="18"/>
          <w:color w:val="auto"/>
        </w:rPr>
        <w:t>. Notwithstanding any other provision of this Agreement, nothing in this Agreement shall prohibit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filing a charge or complaint with the Occupational Safety and Health Administration, the Securities and Exchange Commission, or any other federal, state or local government regulatory agency or commission (collectively, the “Government Agencies”), (b) communicating with any Government Agencies regarding possible violations of law or otherwise participating in any investigation or proceeding that may be conducted by any Government Agencies, or (c) testifying in an administrative, legislative, or judicial proceeding regarding alleged criminal conduct or sexual harassment when Employee has been required or requested to attend a proceeding pursuant to court order, subpoena, or written request from an administrative agency or legislature, in each of the foregoing clauses (a)-(c) without prior authorization of, or notice to, Pyxis. Furthermore, notwithstanding anything to the contrary in this Agreement, the Proprietary Information Agreement, or any other agreement between the parties, the U.S. Defend Trade Secrets Act of 2016 provides that:</w:t>
      </w:r>
    </w:p>
    <w:p>
      <w:pPr>
        <w:spacing w:after="0" w:line="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shall not be held criminally or civilly liable under any federal or state trade secret law for the disclosure of a trade secret that (A) is made</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Agreement prohibits or creates liability for any such protected conduct.</w:t>
      </w:r>
    </w:p>
    <w:p>
      <w:pPr>
        <w:spacing w:after="0" w:line="185" w:lineRule="exact"/>
        <w:rPr>
          <w:rFonts w:ascii="Times New Roman" w:cs="Times New Roman" w:eastAsia="Times New Roman" w:hAnsi="Times New Roman"/>
          <w:sz w:val="18"/>
          <w:szCs w:val="18"/>
          <w:color w:val="auto"/>
        </w:rPr>
      </w:pPr>
    </w:p>
    <w:p>
      <w:pPr>
        <w:ind w:firstLine="757"/>
        <w:spacing w:after="0" w:line="286" w:lineRule="auto"/>
        <w:tabs>
          <w:tab w:leader="none" w:pos="1108"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Modifications</w:t>
      </w:r>
      <w:r>
        <w:rPr>
          <w:rFonts w:ascii="Times New Roman" w:cs="Times New Roman" w:eastAsia="Times New Roman" w:hAnsi="Times New Roman"/>
          <w:sz w:val="18"/>
          <w:szCs w:val="18"/>
          <w:color w:val="auto"/>
        </w:rPr>
        <w:t>. This Agreement may not be modified in any way except in a written agreement signed by both Employee and an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of Pyxis.</w:t>
      </w:r>
    </w:p>
    <w:p>
      <w:pPr>
        <w:spacing w:after="0" w:line="154"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10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its conflict of law provisions.</w:t>
      </w:r>
    </w:p>
    <w:p>
      <w:pPr>
        <w:spacing w:after="0" w:line="154" w:lineRule="exact"/>
        <w:rPr>
          <w:rFonts w:ascii="Times New Roman" w:cs="Times New Roman" w:eastAsia="Times New Roman" w:hAnsi="Times New Roman"/>
          <w:sz w:val="18"/>
          <w:szCs w:val="18"/>
          <w:b w:val="1"/>
          <w:bCs w:val="1"/>
          <w:color w:val="auto"/>
        </w:rPr>
      </w:pPr>
    </w:p>
    <w:p>
      <w:pPr>
        <w:jc w:val="both"/>
        <w:ind w:firstLine="757"/>
        <w:spacing w:after="0" w:line="255" w:lineRule="auto"/>
        <w:tabs>
          <w:tab w:leader="none" w:pos="113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intended to comply with, or be exempt from, Section 409A of the Code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and administered accordingly. No payment or benefit under this Agreement shall be made if such payment or benefit would violate Section 409A of the Code. To the extent any payment, RSU or other equity award constitutes nonqualified deferred compensation subject to Section 409A of the Code and is payable upon a separation from service, payment shall be made only upon a “separation from service” within the meaning of Section 409A of the Code and, only following the expiration of the applicable six-month delay period, if required. To the extent that any provision of this Agreement is ambiguous as to its compliance with Section 409A of the Code, the provision will be read in such a manner so that all payments hereunder are exempt form or comply with Section 409A of the Code. Payments pursuant to this Agreement are intended to constitute separate payments for purposes of Section 1.409A-2(b)(2) of the Treasury Regulations.</w:t>
      </w:r>
    </w:p>
    <w:p>
      <w:pPr>
        <w:spacing w:after="0" w:line="184"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12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Equity Documents, the RSU Deferral Election Forms, the Proprietary Information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Indemnification Agreement constitute the entire agreement and understanding between the parties relating to Employee’s separation from Pyxis. Employee acknowledges and agrees that in executing this Agreement, Employee has not relied on any promises or representations other than those set forth in this Agreement. For the avoidance of doubt, this Agreement does not alter, amend or otherwise change the rights or obligations of Employee or Pyxis in respect of grants of any stock options, RSUs or other equity compensation provided to Employee other than as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1829435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line="200" w:lineRule="exact"/>
        <w:rPr>
          <w:sz w:val="20"/>
          <w:szCs w:val="20"/>
          <w:color w:val="auto"/>
        </w:rPr>
      </w:pPr>
    </w:p>
    <w:p>
      <w:pPr>
        <w:spacing w:after="0" w:line="206"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THEREOF, </w:t>
      </w:r>
      <w:r>
        <w:rPr>
          <w:rFonts w:ascii="Times New Roman" w:cs="Times New Roman" w:eastAsia="Times New Roman" w:hAnsi="Times New Roman"/>
          <w:sz w:val="18"/>
          <w:szCs w:val="18"/>
          <w:color w:val="auto"/>
        </w:rPr>
        <w:t>Employee and Pyxis, after carefully reading the provisions of this Agreement, herein declare that they understand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provisions and willingly accept and agree thereto by executing this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80" w:type="dxa"/>
            <w:vAlign w:val="bottom"/>
            <w:gridSpan w:val="3"/>
          </w:tcPr>
          <w:p>
            <w:pPr>
              <w:ind w:left="3540"/>
              <w:spacing w:after="0"/>
              <w:rPr>
                <w:sz w:val="20"/>
                <w:szCs w:val="20"/>
                <w:color w:val="auto"/>
              </w:rPr>
            </w:pPr>
            <w:r>
              <w:rPr>
                <w:rFonts w:ascii="Times New Roman" w:cs="Times New Roman" w:eastAsia="Times New Roman" w:hAnsi="Times New Roman"/>
                <w:sz w:val="18"/>
                <w:szCs w:val="18"/>
                <w:b w:val="1"/>
                <w:bCs w:val="1"/>
                <w:color w:val="auto"/>
              </w:rPr>
              <w:t>PYXIS ONCOLOGY, INC.</w:t>
            </w:r>
          </w:p>
        </w:tc>
      </w:tr>
      <w:tr>
        <w:trPr>
          <w:trHeight w:val="432"/>
        </w:trPr>
        <w:tc>
          <w:tcPr>
            <w:tcW w:w="2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80" w:type="dxa"/>
            <w:vAlign w:val="bottom"/>
            <w:gridSpan w:val="3"/>
          </w:tcPr>
          <w:p>
            <w:pPr>
              <w:ind w:left="4140"/>
              <w:spacing w:after="0"/>
              <w:rPr>
                <w:sz w:val="20"/>
                <w:szCs w:val="20"/>
                <w:color w:val="auto"/>
              </w:rPr>
            </w:pPr>
            <w:r>
              <w:rPr>
                <w:rFonts w:ascii="Times New Roman" w:cs="Times New Roman" w:eastAsia="Times New Roman" w:hAnsi="Times New Roman"/>
                <w:sz w:val="18"/>
                <w:szCs w:val="18"/>
                <w:color w:val="auto"/>
              </w:rPr>
              <w:t>Sincerely,</w:t>
            </w:r>
          </w:p>
        </w:tc>
      </w:tr>
      <w:tr>
        <w:trPr>
          <w:trHeight w:val="392"/>
        </w:trPr>
        <w:tc>
          <w:tcPr>
            <w:tcW w:w="356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rPr>
              <w:t>By: /s/ Lara Sullivan</w:t>
            </w:r>
          </w:p>
        </w:tc>
        <w:tc>
          <w:tcPr>
            <w:tcW w:w="7680" w:type="dxa"/>
            <w:vAlign w:val="bottom"/>
            <w:gridSpan w:val="3"/>
          </w:tcPr>
          <w:p>
            <w:pPr>
              <w:ind w:left="4140"/>
              <w:spacing w:after="0"/>
              <w:rPr>
                <w:sz w:val="20"/>
                <w:szCs w:val="20"/>
                <w:color w:val="auto"/>
              </w:rPr>
            </w:pPr>
            <w:r>
              <w:rPr>
                <w:rFonts w:ascii="Times New Roman" w:cs="Times New Roman" w:eastAsia="Times New Roman" w:hAnsi="Times New Roman"/>
                <w:sz w:val="18"/>
                <w:szCs w:val="18"/>
                <w:color w:val="auto"/>
              </w:rPr>
              <w:t>By: /s/ John Flavin</w:t>
            </w:r>
          </w:p>
        </w:tc>
      </w:tr>
      <w:tr>
        <w:trPr>
          <w:trHeight w:val="20"/>
        </w:trPr>
        <w:tc>
          <w:tcPr>
            <w:tcW w:w="2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8"/>
        </w:trPr>
        <w:tc>
          <w:tcPr>
            <w:tcW w:w="356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rPr>
              <w:t>Lara S. Sullivan</w:t>
            </w:r>
          </w:p>
        </w:tc>
        <w:tc>
          <w:tcPr>
            <w:tcW w:w="7680" w:type="dxa"/>
            <w:vAlign w:val="bottom"/>
            <w:gridSpan w:val="3"/>
          </w:tcPr>
          <w:p>
            <w:pPr>
              <w:ind w:left="4140"/>
              <w:spacing w:after="0"/>
              <w:rPr>
                <w:sz w:val="20"/>
                <w:szCs w:val="20"/>
                <w:color w:val="auto"/>
              </w:rPr>
            </w:pPr>
            <w:r>
              <w:rPr>
                <w:rFonts w:ascii="Times New Roman" w:cs="Times New Roman" w:eastAsia="Times New Roman" w:hAnsi="Times New Roman"/>
                <w:sz w:val="18"/>
                <w:szCs w:val="18"/>
                <w:color w:val="auto"/>
              </w:rPr>
              <w:t>John Flavin</w:t>
            </w:r>
          </w:p>
        </w:tc>
      </w:tr>
      <w:tr>
        <w:trPr>
          <w:trHeight w:val="234"/>
        </w:trPr>
        <w:tc>
          <w:tcPr>
            <w:tcW w:w="2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80" w:type="dxa"/>
            <w:vAlign w:val="bottom"/>
            <w:gridSpan w:val="3"/>
          </w:tcPr>
          <w:p>
            <w:pPr>
              <w:ind w:left="3880"/>
              <w:spacing w:after="0"/>
              <w:rPr>
                <w:sz w:val="20"/>
                <w:szCs w:val="20"/>
                <w:color w:val="auto"/>
              </w:rPr>
            </w:pPr>
            <w:r>
              <w:rPr>
                <w:rFonts w:ascii="Times New Roman" w:cs="Times New Roman" w:eastAsia="Times New Roman" w:hAnsi="Times New Roman"/>
                <w:sz w:val="18"/>
                <w:szCs w:val="18"/>
                <w:color w:val="auto"/>
              </w:rPr>
              <w:t>Chairman</w:t>
            </w:r>
          </w:p>
        </w:tc>
      </w:tr>
      <w:tr>
        <w:trPr>
          <w:trHeight w:val="2977"/>
        </w:trPr>
        <w:tc>
          <w:tcPr>
            <w:tcW w:w="2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center"/>
        <w:ind w:right="220"/>
        <w:spacing w:after="0"/>
        <w:rPr>
          <w:sz w:val="20"/>
          <w:szCs w:val="20"/>
          <w:color w:val="auto"/>
        </w:rPr>
      </w:pPr>
      <w:r>
        <w:rPr>
          <w:rFonts w:ascii="Times New Roman" w:cs="Times New Roman" w:eastAsia="Times New Roman" w:hAnsi="Times New Roman"/>
          <w:sz w:val="22"/>
          <w:szCs w:val="22"/>
          <w:b w:val="1"/>
          <w:bCs w:val="1"/>
          <w:u w:val="single" w:color="auto"/>
          <w:color w:val="auto"/>
        </w:rPr>
        <w:t>DIRECTOR AND OFFICER</w:t>
      </w:r>
    </w:p>
    <w:p>
      <w:pPr>
        <w:spacing w:after="0" w:line="1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 AGREEMENT</w:t>
      </w:r>
    </w:p>
    <w:p>
      <w:pPr>
        <w:spacing w:after="0" w:line="214" w:lineRule="exact"/>
        <w:rPr>
          <w:sz w:val="20"/>
          <w:szCs w:val="20"/>
          <w:color w:val="auto"/>
        </w:rPr>
      </w:pPr>
    </w:p>
    <w:p>
      <w:pPr>
        <w:ind w:right="6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INDEMNIFICATION AGREEMENT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“Agreement”</w:t>
      </w:r>
      <w:r>
        <w:rPr>
          <w:rFonts w:ascii="Times New Roman" w:cs="Times New Roman" w:eastAsia="Times New Roman" w:hAnsi="Times New Roman"/>
          <w:sz w:val="18"/>
          <w:szCs w:val="18"/>
          <w:color w:val="auto"/>
        </w:rPr>
        <w:t>) is entered into as of the [●] day of [●], 2021, by and between Pyxis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Inc., a Delaware corporation (the “Company”), and [●]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8" w:lineRule="exact"/>
        <w:rPr>
          <w:sz w:val="20"/>
          <w:szCs w:val="20"/>
          <w:color w:val="auto"/>
        </w:rPr>
      </w:pPr>
    </w:p>
    <w:p>
      <w:pPr>
        <w:jc w:val="both"/>
        <w:ind w:right="560" w:firstLine="757"/>
        <w:spacing w:after="0" w:line="266" w:lineRule="auto"/>
        <w:tabs>
          <w:tab w:leader="none" w:pos="11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aware that competent and experienced persons are increasingly reluctant to serve or continue serving as directors or officers of companies unless they are protected by comprehensive liability insurance and adequate indemnification due to the increased exposure to litigation costs and risks resulting from service to such companies that often bear no relationship to the compensation of such directors or officers.</w:t>
      </w:r>
    </w:p>
    <w:p>
      <w:pPr>
        <w:spacing w:after="0" w:line="175" w:lineRule="exact"/>
        <w:rPr>
          <w:rFonts w:ascii="Times New Roman" w:cs="Times New Roman" w:eastAsia="Times New Roman" w:hAnsi="Times New Roman"/>
          <w:sz w:val="18"/>
          <w:szCs w:val="18"/>
          <w:color w:val="auto"/>
        </w:rPr>
      </w:pPr>
    </w:p>
    <w:p>
      <w:pPr>
        <w:ind w:right="160" w:firstLine="757"/>
        <w:spacing w:after="0" w:line="266" w:lineRule="auto"/>
        <w:tabs>
          <w:tab w:leader="none" w:pos="11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statutes and judicial decisions regarding the duties of directors and officers are often insufficient to provide directors and officers with adequate, reliable knowledge of the legal risks to which they are exposed or the manner in which they are expected to execute their fiduciary duties and responsibilities.</w:t>
      </w:r>
    </w:p>
    <w:p>
      <w:pPr>
        <w:spacing w:after="0" w:line="175" w:lineRule="exact"/>
        <w:rPr>
          <w:rFonts w:ascii="Times New Roman" w:cs="Times New Roman" w:eastAsia="Times New Roman" w:hAnsi="Times New Roman"/>
          <w:sz w:val="18"/>
          <w:szCs w:val="18"/>
          <w:color w:val="auto"/>
        </w:rPr>
      </w:pPr>
    </w:p>
    <w:p>
      <w:pPr>
        <w:ind w:right="160" w:firstLine="757"/>
        <w:spacing w:after="0" w:line="266" w:lineRule="auto"/>
        <w:tabs>
          <w:tab w:leader="none" w:pos="11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Indemnitee recognize that plaintiffs often seek damages in such large amounts, and the costs of litigation may be so great (whether or not the claims are meritorious), that the defense and/or settlement of such litigation can create an extraordinary burden on the personal resources of directors and officers.</w:t>
      </w:r>
    </w:p>
    <w:p>
      <w:pPr>
        <w:spacing w:after="0" w:line="175" w:lineRule="exact"/>
        <w:rPr>
          <w:rFonts w:ascii="Times New Roman" w:cs="Times New Roman" w:eastAsia="Times New Roman" w:hAnsi="Times New Roman"/>
          <w:sz w:val="18"/>
          <w:szCs w:val="18"/>
          <w:color w:val="auto"/>
        </w:rPr>
      </w:pPr>
    </w:p>
    <w:p>
      <w:pPr>
        <w:ind w:right="40" w:firstLine="757"/>
        <w:spacing w:after="0" w:line="261" w:lineRule="auto"/>
        <w:tabs>
          <w:tab w:leader="none" w:pos="11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concluded that, to attract and retain competent and experienced persons to serve as directors and officers of the Company, it is not only reasonable and prudent but necessary to promote the best interests of the Company and its stockholders for the Company to contractually indemnify its directors and certain of its officers in the manner set forth herein, and to assume for itself liability for expenses and damages in connection with claims against such directors and officers in connection with their service to the Company as provided herein.</w:t>
      </w:r>
    </w:p>
    <w:p>
      <w:pPr>
        <w:spacing w:after="0" w:line="179" w:lineRule="exact"/>
        <w:rPr>
          <w:rFonts w:ascii="Times New Roman" w:cs="Times New Roman" w:eastAsia="Times New Roman" w:hAnsi="Times New Roman"/>
          <w:sz w:val="18"/>
          <w:szCs w:val="18"/>
          <w:color w:val="auto"/>
        </w:rPr>
      </w:pPr>
    </w:p>
    <w:p>
      <w:pPr>
        <w:ind w:firstLine="757"/>
        <w:spacing w:after="0" w:line="266" w:lineRule="auto"/>
        <w:tabs>
          <w:tab w:leader="none" w:pos="11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145 of the General Corporation Law of Delaware (the “DGCL”) permits the Company to indemnify and advance defense costs to its officers and directors and to indemnify and advance expenses to persons who serve at the request of the Company as directors, officers, employees, or agents of other corporations or enterprises.</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desires and has requested the Indemnitee to serve or continue to serve as a director and/or officer of the Company, and the Indemnitee is willing to serve, or to continue to serve, as a director and/or officer of the Company if the Indemnitee is furnished the indemnity provided for herein by the Company.</w:t>
      </w:r>
    </w:p>
    <w:p>
      <w:pPr>
        <w:spacing w:after="0" w:line="172" w:lineRule="exact"/>
        <w:rPr>
          <w:sz w:val="20"/>
          <w:szCs w:val="20"/>
          <w:color w:val="auto"/>
        </w:rPr>
      </w:pPr>
    </w:p>
    <w:p>
      <w:pPr>
        <w:ind w:right="1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the mutual covenants and agreements set forth below,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hereby agree as follows:</w:t>
      </w:r>
    </w:p>
    <w:p>
      <w:pPr>
        <w:spacing w:after="0" w:line="155" w:lineRule="exact"/>
        <w:rPr>
          <w:sz w:val="20"/>
          <w:szCs w:val="20"/>
          <w:color w:val="auto"/>
        </w:rPr>
      </w:pPr>
    </w:p>
    <w:p>
      <w:pPr>
        <w:ind w:left="760" w:right="1400" w:hanging="3"/>
        <w:spacing w:after="0" w:line="503" w:lineRule="auto"/>
        <w:tabs>
          <w:tab w:leader="none" w:pos="11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 the following terms shall have the corresponding meanings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means each of the following:</w:t>
      </w:r>
    </w:p>
    <w:p>
      <w:pPr>
        <w:jc w:val="both"/>
        <w:ind w:left="1500" w:right="220" w:firstLine="5"/>
        <w:spacing w:after="0" w:line="256" w:lineRule="auto"/>
        <w:tabs>
          <w:tab w:leader="none" w:pos="171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any Person becomes the “Beneficial Owner,” as such term is defined in Rule 13d-3 promulgated under the Exchange Act, of 30% or more of the combined voting power of the Company’s outstanding shares, other than beneficial ownership by (A) the Company or any subsidiary of the Company, (B) any employee benefit plan of the Company or any subsidiary of the Company or (C) any entity of the Company for or pursuant to the terms of any such plan. Notwithstanding the foregoing, a Change in Control shall not occur as the result of an acquisition of outstanding shares of the Company by the Company which, by reducing the number of shares outstanding, increases the proportionate number of 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6" w:name="page77"/>
    <w:bookmarkEnd w:id="76"/>
    <w:p>
      <w:pPr>
        <w:ind w:left="1500"/>
        <w:spacing w:after="0" w:line="261" w:lineRule="auto"/>
        <w:rPr>
          <w:sz w:val="20"/>
          <w:szCs w:val="20"/>
          <w:color w:val="auto"/>
        </w:rPr>
      </w:pPr>
      <w:r>
        <w:rPr>
          <w:rFonts w:ascii="Times New Roman" w:cs="Times New Roman" w:eastAsia="Times New Roman" w:hAnsi="Times New Roman"/>
          <w:sz w:val="18"/>
          <w:szCs w:val="18"/>
          <w:color w:val="auto"/>
        </w:rPr>
        <w:t>by a Person to 30% or more of the shares of the Company then outstanding; provided, however, that if a Person becomes the Beneficial Owner of 30% or more of the shares of the Company then outstanding by reason of share purchases by the Company and shall, after such share purchases by the Company, become the Beneficial Owner of any additional shares of the Company, then a Change in Control shall be deemed to have occurred; or</w:t>
      </w:r>
    </w:p>
    <w:p>
      <w:pPr>
        <w:spacing w:after="0" w:line="180" w:lineRule="exact"/>
        <w:rPr>
          <w:sz w:val="20"/>
          <w:szCs w:val="20"/>
          <w:color w:val="auto"/>
        </w:rPr>
      </w:pPr>
    </w:p>
    <w:p>
      <w:pPr>
        <w:ind w:left="1500" w:right="20"/>
        <w:spacing w:after="0" w:line="261" w:lineRule="auto"/>
        <w:rPr>
          <w:sz w:val="20"/>
          <w:szCs w:val="20"/>
          <w:color w:val="auto"/>
        </w:rPr>
      </w:pPr>
      <w:r>
        <w:rPr>
          <w:rFonts w:ascii="Times New Roman" w:cs="Times New Roman" w:eastAsia="Times New Roman" w:hAnsi="Times New Roman"/>
          <w:sz w:val="18"/>
          <w:szCs w:val="18"/>
          <w:color w:val="auto"/>
        </w:rPr>
        <w:t>(ii) The date the Company consummates a merger or consolidation with another entity, or engages in a reorganization with or a statutory share exchange or an exchange offer for the Company’s outstanding voting stock of any class with another entity or acquires another entity by means of a statutory share exchange or an exchange offer, or engages in a similar transaction; provided that no Change in Control shall have occurred by reason of this paragraph unless either:</w:t>
      </w:r>
    </w:p>
    <w:p>
      <w:pPr>
        <w:spacing w:after="0" w:line="180" w:lineRule="exact"/>
        <w:rPr>
          <w:sz w:val="20"/>
          <w:szCs w:val="20"/>
          <w:color w:val="auto"/>
        </w:rPr>
      </w:pPr>
    </w:p>
    <w:p>
      <w:pPr>
        <w:ind w:left="2260" w:right="60" w:hanging="6"/>
        <w:spacing w:after="0" w:line="256" w:lineRule="auto"/>
        <w:tabs>
          <w:tab w:leader="none" w:pos="25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immediately prior to the consummation of the transaction would not, immediately after such consummation, as a result of their beneficial ownership of voting stock of the Company immediately prior to such consummation (I) be the Beneficial Owners, directly or indirectly, of securities of the resulting or acquiring entity entitled to elect a majority of the members of the board of directors or other governing body of the resulting or acquiring entity; and (II) be the Beneficial Owners of the resulting or acquiring entity in substantially the same proportion as their beneficial ownership of the voting stock of the Company immediately prior to such transaction; or</w:t>
      </w:r>
    </w:p>
    <w:p>
      <w:pPr>
        <w:spacing w:after="0" w:line="187" w:lineRule="exact"/>
        <w:rPr>
          <w:rFonts w:ascii="Times New Roman" w:cs="Times New Roman" w:eastAsia="Times New Roman" w:hAnsi="Times New Roman"/>
          <w:sz w:val="18"/>
          <w:szCs w:val="18"/>
          <w:color w:val="auto"/>
        </w:rPr>
      </w:pPr>
    </w:p>
    <w:p>
      <w:pPr>
        <w:ind w:left="2260" w:hanging="6"/>
        <w:spacing w:after="0" w:line="312" w:lineRule="auto"/>
        <w:tabs>
          <w:tab w:leader="none" w:pos="254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persons who were directors of the Company immediately prior to the consummation of the proposed transaction would not, immediately after such consummation, constitute a majority of the directors of the resulting entity.</w:t>
      </w:r>
    </w:p>
    <w:p>
      <w:pPr>
        <w:spacing w:after="0" w:line="139" w:lineRule="exact"/>
        <w:rPr>
          <w:rFonts w:ascii="Times New Roman" w:cs="Times New Roman" w:eastAsia="Times New Roman" w:hAnsi="Times New Roman"/>
          <w:sz w:val="17"/>
          <w:szCs w:val="17"/>
          <w:color w:val="auto"/>
        </w:rPr>
      </w:pPr>
    </w:p>
    <w:p>
      <w:pPr>
        <w:ind w:left="1500" w:right="60" w:firstLine="5"/>
        <w:spacing w:after="0" w:line="266" w:lineRule="auto"/>
        <w:tabs>
          <w:tab w:leader="none" w:pos="1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sale or disposition, in one or a series of related transactions, of all or substantially all of the assets of the Company to any Person (as defined in paragraph (i) above) other than an affiliate of the Company (meaning any corporation that is part of a controlled group within the meaning of the Internal Revenue Code of 1986, as amended, Section 414(b) or (c)); or</w:t>
      </w:r>
    </w:p>
    <w:p>
      <w:pPr>
        <w:spacing w:after="0" w:line="175" w:lineRule="exact"/>
        <w:rPr>
          <w:rFonts w:ascii="Times New Roman" w:cs="Times New Roman" w:eastAsia="Times New Roman" w:hAnsi="Times New Roman"/>
          <w:sz w:val="18"/>
          <w:szCs w:val="18"/>
          <w:color w:val="auto"/>
        </w:rPr>
      </w:pPr>
    </w:p>
    <w:p>
      <w:pPr>
        <w:ind w:left="1500" w:right="240" w:firstLine="5"/>
        <w:spacing w:after="0" w:line="266" w:lineRule="auto"/>
        <w:tabs>
          <w:tab w:leader="none" w:pos="18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number of duly elected and qualified directors of the Company who were not either elected by the Company’s Board or nominated by the Board or its Nominating and Corporate Governance Committee for election by the stockholders shall constitute a majority of the total number of directors of the Company as fixed by its By-Laws.</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Reviewing Party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72" w:lineRule="exact"/>
        <w:rPr>
          <w:sz w:val="20"/>
          <w:szCs w:val="20"/>
          <w:color w:val="auto"/>
        </w:rPr>
      </w:pPr>
    </w:p>
    <w:p>
      <w:pPr>
        <w:ind w:left="760" w:right="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a claim or action asserted by a Person in a Proceeding or any other written demand for relief in connection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from an Indemnification Event.</w:t>
      </w:r>
    </w:p>
    <w:p>
      <w:pPr>
        <w:spacing w:after="0" w:line="155" w:lineRule="exact"/>
        <w:rPr>
          <w:sz w:val="20"/>
          <w:szCs w:val="20"/>
          <w:color w:val="auto"/>
        </w:rPr>
      </w:pPr>
    </w:p>
    <w:p>
      <w:pPr>
        <w:ind w:left="760" w:right="10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“Covered Entity” </w:t>
      </w:r>
      <w:r>
        <w:rPr>
          <w:rFonts w:ascii="Times New Roman" w:cs="Times New Roman" w:eastAsia="Times New Roman" w:hAnsi="Times New Roman"/>
          <w:sz w:val="18"/>
          <w:szCs w:val="18"/>
          <w:color w:val="auto"/>
        </w:rPr>
        <w:t>means (i) the Company, (ii) any subsidiary of the Company or (iii) any other Person for which Indemnitee 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or may be deemed to be serving, at the request of the Company or any subsidiary of the Company, as a director, officer, employee, controlling person, agent or fiduciary.</w:t>
      </w:r>
    </w:p>
    <w:p>
      <w:pPr>
        <w:spacing w:after="0" w:line="171" w:lineRule="exact"/>
        <w:rPr>
          <w:sz w:val="20"/>
          <w:szCs w:val="20"/>
          <w:color w:val="auto"/>
        </w:rPr>
      </w:pPr>
    </w:p>
    <w:p>
      <w:pPr>
        <w:ind w:left="7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“Disinterested Director” </w:t>
      </w:r>
      <w:r>
        <w:rPr>
          <w:rFonts w:ascii="Times New Roman" w:cs="Times New Roman" w:eastAsia="Times New Roman" w:hAnsi="Times New Roman"/>
          <w:sz w:val="18"/>
          <w:szCs w:val="18"/>
          <w:color w:val="auto"/>
        </w:rPr>
        <w:t>means, with respect to any determination contemplated by this Agreement, any Person who,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such determination, is a member of the Company’s board of directors but is not a party to any Proceeding then pending with respect to any Indemnification Event.</w:t>
      </w:r>
    </w:p>
    <w:p>
      <w:pPr>
        <w:spacing w:after="0" w:line="3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17" w:right="579" w:bottom="1440" w:gutter="0" w:footer="0" w:header="0"/>
        </w:sectPr>
      </w:pPr>
    </w:p>
    <w:bookmarkStart w:id="77" w:name="page78"/>
    <w:bookmarkEnd w:id="77"/>
    <w:p>
      <w:pPr>
        <w:ind w:left="3" w:right="20" w:firstLine="749"/>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“Expenses” </w:t>
      </w:r>
      <w:r>
        <w:rPr>
          <w:rFonts w:ascii="Times New Roman" w:cs="Times New Roman" w:eastAsia="Times New Roman" w:hAnsi="Times New Roman"/>
          <w:sz w:val="17"/>
          <w:szCs w:val="17"/>
          <w:color w:val="auto"/>
        </w:rPr>
        <w:t>means any and all direct and indirect fees and costs, retainers, court costs, transcript costs, fees of experts, witness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fees, travel expenses, duplicating, printing and binding costs, telephone charges, postage and delivery service fees and all other disbursements or expenses of any type or nature whatsoever reasonably incurred by Indemnitee (including, subject to the limitations set forth in Section 3(c) below, reasonable attorneys’ fees) in connection with or arising from an Indemnification Event, including, without limitation: (i) the investigation or defense of a Claim; (ii) being, or preparing to be, a witness or otherwise participating, or preparing to participate, in any Proceeding; (iii) furnishing, or preparing to furnish, documents in response to a subpoena or otherwise in connection with any Proceeding;</w:t>
      </w:r>
    </w:p>
    <w:p>
      <w:pPr>
        <w:spacing w:after="0" w:line="4" w:lineRule="exact"/>
        <w:rPr>
          <w:sz w:val="20"/>
          <w:szCs w:val="20"/>
          <w:color w:val="auto"/>
        </w:rPr>
      </w:pPr>
    </w:p>
    <w:p>
      <w:pPr>
        <w:ind w:left="3" w:hanging="3"/>
        <w:spacing w:after="0" w:line="251" w:lineRule="auto"/>
        <w:tabs>
          <w:tab w:leader="none" w:pos="3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appeal of any judgment, outcome or determination in any Proceeding (including, without limitation, any premium, security for and other costs relating to any cost bond, supersedeas bond or any other appeal bond or its equivalent); (v) establishing or enforcing any right to indemnification under this Agreement (including, without limitation, pursuant to Section 2(c) below), the DGCL or otherwise, regardless of whether Indemnitee is ultimately successful in such action, unless as a part of such action, a court of competent jurisdiction over such action determines that each of the material assertions made by Indemnitee as a basis for such action was not made in good faith or was frivolous; (vi) Indemnitee’s defense of any Proceeding instituted by or in the name of the Company under this Agreement to enforce, interpret or defend any of the terms of this Agreement or the Indemnitee’s rights under this Agreement or under any directors’ or officers’ liability insurance policies maintained by the Company (including, without limitation, costs and expenses incurred with respect to Indemnitee’s counterclaims and cross-claims made in such action); and (vii) any Federal, state, local or foreign taxes imposed on Indemnitee as a result of the actual or deemed receipt of any payments under this Agreement, including all interest, assessments and other charges paid or payable with respect to such payments. For purposes of clarification, Expenses shall not include Losses.</w:t>
      </w:r>
    </w:p>
    <w:p>
      <w:pPr>
        <w:spacing w:after="0" w:line="188" w:lineRule="exact"/>
        <w:rPr>
          <w:sz w:val="20"/>
          <w:szCs w:val="20"/>
          <w:color w:val="auto"/>
        </w:rPr>
      </w:pPr>
    </w:p>
    <w:p>
      <w:pPr>
        <w:ind w:left="3" w:right="80" w:firstLine="749"/>
        <w:spacing w:after="0" w:line="259" w:lineRule="auto"/>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“Indemnification Event”</w:t>
      </w:r>
      <w:r>
        <w:rPr>
          <w:rFonts w:ascii="Times New Roman" w:cs="Times New Roman" w:eastAsia="Times New Roman" w:hAnsi="Times New Roman"/>
          <w:sz w:val="18"/>
          <w:szCs w:val="18"/>
          <w:color w:val="auto"/>
        </w:rPr>
        <w:t xml:space="preserve"> shall be deemed to have occurred if Indemnitee was or is or becomes, or is threatened to be made, a party to or witness or other participant in, or was or is or becomes obligated to furnish or furnishes documents in response to a subpoena or otherwise in connection with, any Proceeding by reason of the fact that Indemnitee is or was or may be deemed a director, officer, employee, controlling person, agent or fiduciary of any Covered Entity, or by reason of any action or inaction on the part of Indemnitee in any such capacity.</w:t>
      </w:r>
    </w:p>
    <w:p>
      <w:pPr>
        <w:spacing w:after="0" w:line="179" w:lineRule="exact"/>
        <w:rPr>
          <w:sz w:val="20"/>
          <w:szCs w:val="20"/>
          <w:color w:val="auto"/>
        </w:rPr>
      </w:pPr>
    </w:p>
    <w:p>
      <w:pPr>
        <w:jc w:val="both"/>
        <w:ind w:left="3" w:right="1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“Independent Legal Counsel” </w:t>
      </w:r>
      <w:r>
        <w:rPr>
          <w:rFonts w:ascii="Times New Roman" w:cs="Times New Roman" w:eastAsia="Times New Roman" w:hAnsi="Times New Roman"/>
          <w:sz w:val="18"/>
          <w:szCs w:val="18"/>
          <w:color w:val="auto"/>
        </w:rPr>
        <w:t>means an attorney or firm of attorneys that is experienced in matters of corporate law and neither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presently is, nor in the thirty-six (36) months prior to such designation has been, retained to represent: (i) the Company or Indemnitee in any matter material to either such party, or (ii) any other party to the Proceeding giving rise to a claim for indemnification hereunder.</w:t>
      </w:r>
    </w:p>
    <w:p>
      <w:pPr>
        <w:spacing w:after="0" w:line="171" w:lineRule="exact"/>
        <w:rPr>
          <w:sz w:val="20"/>
          <w:szCs w:val="20"/>
          <w:color w:val="auto"/>
        </w:rPr>
      </w:pPr>
    </w:p>
    <w:p>
      <w:pPr>
        <w:ind w:left="3" w:right="48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“Losses” </w:t>
      </w:r>
      <w:r>
        <w:rPr>
          <w:rFonts w:ascii="Times New Roman" w:cs="Times New Roman" w:eastAsia="Times New Roman" w:hAnsi="Times New Roman"/>
          <w:sz w:val="18"/>
          <w:szCs w:val="18"/>
          <w:color w:val="auto"/>
        </w:rPr>
        <w:t>means any and all losses, claims, damages, liabilities, judgments, fines, penalties, settlement payments, awards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of any type whatsoever incurred by Indemnitee in connection with or arising from an Indemnification Event. For purposes of clarification, Losses shall not include Expenses.</w:t>
      </w:r>
    </w:p>
    <w:p>
      <w:pPr>
        <w:spacing w:after="0" w:line="171" w:lineRule="exact"/>
        <w:rPr>
          <w:sz w:val="20"/>
          <w:szCs w:val="20"/>
          <w:color w:val="auto"/>
        </w:rPr>
      </w:pPr>
    </w:p>
    <w:p>
      <w:pPr>
        <w:ind w:left="3" w:right="3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“Organizational Documents” </w:t>
      </w:r>
      <w:r>
        <w:rPr>
          <w:rFonts w:ascii="Times New Roman" w:cs="Times New Roman" w:eastAsia="Times New Roman" w:hAnsi="Times New Roman"/>
          <w:sz w:val="18"/>
          <w:szCs w:val="18"/>
          <w:color w:val="auto"/>
        </w:rPr>
        <w:t>means any and all organizational documents, charters or similar agreements or governing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including, without limitation, (i) with respect to a corporation, its certificate of incorporation and bylaws, (ii) with respect to a limited liability company, its operating agreement, and (iii) with respect to a limited partnership, its partnership agreement.</w:t>
      </w:r>
    </w:p>
    <w:p>
      <w:pPr>
        <w:spacing w:after="0" w:line="171" w:lineRule="exact"/>
        <w:rPr>
          <w:sz w:val="20"/>
          <w:szCs w:val="20"/>
          <w:color w:val="auto"/>
        </w:rPr>
      </w:pPr>
    </w:p>
    <w:p>
      <w:pPr>
        <w:ind w:left="3" w:right="10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“Proceeding” </w:t>
      </w:r>
      <w:r>
        <w:rPr>
          <w:rFonts w:ascii="Times New Roman" w:cs="Times New Roman" w:eastAsia="Times New Roman" w:hAnsi="Times New Roman"/>
          <w:sz w:val="18"/>
          <w:szCs w:val="18"/>
          <w:color w:val="auto"/>
        </w:rPr>
        <w:t>means any threatened, pending or completed claim, action, suit, proceeding, arbitration or alternative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mechanism, investigation, inquiry, administrative hearing or appeal, whether brought in the right of a Covered Entity or otherwise and whether of a civil (including intentional or unintentional tort claims), criminal, administrative, internal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871855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3"/>
          </w:cols>
          <w:pgMar w:left="1077" w:top="1413" w:right="579" w:bottom="1440" w:gutter="0" w:footer="0" w:header="0"/>
        </w:sectPr>
      </w:pPr>
    </w:p>
    <w:bookmarkStart w:id="78" w:name="page79"/>
    <w:bookmarkEnd w:id="78"/>
    <w:p>
      <w:pPr>
        <w:jc w:val="both"/>
        <w:ind w:left="3"/>
        <w:spacing w:after="0" w:line="266" w:lineRule="auto"/>
        <w:rPr>
          <w:sz w:val="20"/>
          <w:szCs w:val="20"/>
          <w:color w:val="auto"/>
        </w:rPr>
      </w:pPr>
      <w:r>
        <w:rPr>
          <w:rFonts w:ascii="Times New Roman" w:cs="Times New Roman" w:eastAsia="Times New Roman" w:hAnsi="Times New Roman"/>
          <w:sz w:val="18"/>
          <w:szCs w:val="18"/>
          <w:color w:val="auto"/>
        </w:rPr>
        <w:t>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72" w:lineRule="exact"/>
        <w:rPr>
          <w:sz w:val="20"/>
          <w:szCs w:val="20"/>
          <w:color w:val="auto"/>
        </w:rPr>
      </w:pPr>
    </w:p>
    <w:p>
      <w:pPr>
        <w:ind w:left="3" w:right="2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an individual, a partnership, a corporation, a limited liability company, an association, a joint stock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 joint venture, an unincorporated organization or other entity or government or agency or political subdivision thereof.</w:t>
      </w:r>
    </w:p>
    <w:p>
      <w:pPr>
        <w:spacing w:after="0" w:line="155" w:lineRule="exact"/>
        <w:rPr>
          <w:sz w:val="20"/>
          <w:szCs w:val="20"/>
          <w:color w:val="auto"/>
        </w:rPr>
      </w:pPr>
    </w:p>
    <w:p>
      <w:pPr>
        <w:ind w:left="3"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“Reviewing Party” </w:t>
      </w:r>
      <w:r>
        <w:rPr>
          <w:rFonts w:ascii="Times New Roman" w:cs="Times New Roman" w:eastAsia="Times New Roman" w:hAnsi="Times New Roman"/>
          <w:sz w:val="18"/>
          <w:szCs w:val="18"/>
          <w:color w:val="auto"/>
        </w:rPr>
        <w:t>means, with respect to any determination contemplated by this Agreement, any one of the following: (i)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Disinterested Directors, even if such Persons would not constitute a quorum of the Company’s board of directors; (ii) a committee consisting solely of Disinterested Directors, even if such Persons would not constitute a quorum of the Company’s board of directors, so long as such committee was designated by a majority of the Disinterested Directors; (iii) Independent Legal Counsel designated by the Disinterested Directors (or, if there are no Disinterested Directors, the Company’s board of directors) (in which case, any determination shall be evidenced by the rendering of a written opinion); or (iv) in the absence of any Disinterested Directors, the Company’s stockholders; provided, that, in the event that a Change in Control has occurred, the Reviewing Party shall be Independent Legal Counsel (selected by Indemnitee) in a written opinion to the board of directors of the Company, a copy of which shall be delivered to the Indemnitee.</w:t>
      </w:r>
    </w:p>
    <w:p>
      <w:pPr>
        <w:spacing w:after="0" w:line="185"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Securities and Exchange Commission.</w:t>
      </w:r>
    </w:p>
    <w:p>
      <w:pPr>
        <w:spacing w:after="0" w:line="225"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ind w:left="363" w:hanging="363"/>
        <w:spacing w:after="0"/>
        <w:tabs>
          <w:tab w:leader="none" w:pos="36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ind w:left="3" w:firstLine="745"/>
        <w:spacing w:after="0" w:line="254" w:lineRule="auto"/>
        <w:tabs>
          <w:tab w:leader="none" w:pos="111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Losses and Expenses.</w:t>
      </w:r>
      <w:r>
        <w:rPr>
          <w:rFonts w:ascii="Times New Roman" w:cs="Times New Roman" w:eastAsia="Times New Roman" w:hAnsi="Times New Roman"/>
          <w:sz w:val="18"/>
          <w:szCs w:val="18"/>
          <w:color w:val="auto"/>
        </w:rPr>
        <w:t xml:space="preserve"> If an Indemnification Event has occurred, then, subject to Section 9 below, the Company shall indemnify and hold harmless Indemnitee, to the fullest extent permitted by the DGCL, as such law may be amended from time to time (but in the case of any such amendment, only to the extent that such amendment permits the Company to provide broader indemnification rights than were permitted prior thereto), against any and all Losses and Expenses; provided that the Company’s commitment set forth in this </w:t>
      </w:r>
      <w:r>
        <w:rPr>
          <w:rFonts w:ascii="Times New Roman" w:cs="Times New Roman" w:eastAsia="Times New Roman" w:hAnsi="Times New Roman"/>
          <w:sz w:val="18"/>
          <w:szCs w:val="18"/>
          <w:b w:val="1"/>
          <w:bCs w:val="1"/>
          <w:color w:val="auto"/>
        </w:rPr>
        <w:t>Section 2(a)</w:t>
      </w:r>
      <w:r>
        <w:rPr>
          <w:rFonts w:ascii="Times New Roman" w:cs="Times New Roman" w:eastAsia="Times New Roman" w:hAnsi="Times New Roman"/>
          <w:sz w:val="18"/>
          <w:szCs w:val="18"/>
          <w:color w:val="auto"/>
        </w:rPr>
        <w:t xml:space="preserve"> to indemnify the Indemnitee shall be subject to the limitations and procedural requirements set forth in this Agreement. The parties hereto intend that this Agreement, to the fullest extent permitted by applicable law, shall provide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91" w:lineRule="exact"/>
        <w:rPr>
          <w:rFonts w:ascii="Times New Roman" w:cs="Times New Roman" w:eastAsia="Times New Roman" w:hAnsi="Times New Roman"/>
          <w:sz w:val="18"/>
          <w:szCs w:val="18"/>
          <w:color w:val="auto"/>
        </w:rPr>
      </w:pPr>
    </w:p>
    <w:p>
      <w:pPr>
        <w:ind w:left="3" w:right="240" w:firstLine="745"/>
        <w:spacing w:after="0" w:line="266" w:lineRule="auto"/>
        <w:tabs>
          <w:tab w:leader="none" w:pos="111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xml:space="preserve"> If Indemnitee is entitled under any provision of this Agreement to indemnification by the Company for some or a portion of Losses or Expenses, but not, however, for the total amount thereof, the Company shall nevertheless indemnify Indemnitee for the portion thereof to which Indemnitee is entitled.</w:t>
      </w:r>
    </w:p>
    <w:p>
      <w:pPr>
        <w:spacing w:after="0" w:line="175" w:lineRule="exact"/>
        <w:rPr>
          <w:rFonts w:ascii="Times New Roman" w:cs="Times New Roman" w:eastAsia="Times New Roman" w:hAnsi="Times New Roman"/>
          <w:sz w:val="18"/>
          <w:szCs w:val="18"/>
          <w:color w:val="auto"/>
        </w:rPr>
      </w:pPr>
    </w:p>
    <w:p>
      <w:pPr>
        <w:ind w:left="3" w:right="60" w:firstLine="745"/>
        <w:spacing w:after="0" w:line="258" w:lineRule="auto"/>
        <w:tabs>
          <w:tab w:leader="none" w:pos="111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xml:space="preserve"> To the fullest extent permitted by applicable law and to the extent that Indemnitee is, by reason of his or her corporate status, a witness, is or was made (or asked) to respond to discovery requests in any Proceeding or otherwise asked to participate in any respect of a Proceeding to which Indemnitee is not a party, Indemnitee shall be indemnified to the extent permitted by applicable law against all Expenses actually and reasonably incurred by Indemnitee or on Indemnitee’s behalf in connection therewith.</w:t>
      </w:r>
    </w:p>
    <w:p>
      <w:pPr>
        <w:spacing w:after="0" w:line="183" w:lineRule="exact"/>
        <w:rPr>
          <w:rFonts w:ascii="Times New Roman" w:cs="Times New Roman" w:eastAsia="Times New Roman" w:hAnsi="Times New Roman"/>
          <w:sz w:val="18"/>
          <w:szCs w:val="18"/>
          <w:color w:val="auto"/>
        </w:rPr>
      </w:pPr>
    </w:p>
    <w:p>
      <w:pPr>
        <w:jc w:val="both"/>
        <w:ind w:left="3" w:right="120" w:firstLine="745"/>
        <w:spacing w:after="0" w:line="261" w:lineRule="auto"/>
        <w:tabs>
          <w:tab w:leader="none" w:pos="111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The Company shall advance Expenses incurred by or on behalf of Indemnitee to the fullest extent permitted by the DGCL, as such law may be amended from time to time (but in the case of any such amendment, only to the extent that such amendment permits the Company to provide broader indemnification rights than were permitted prior thereto), prior to its final disposition and as soon as practicable, but in any event not later than 30 days after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867410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3"/>
          </w:cols>
          <w:pgMar w:left="1077" w:top="1417" w:right="559" w:bottom="1440" w:gutter="0" w:footer="0" w:header="0"/>
        </w:sectPr>
      </w:pPr>
    </w:p>
    <w:bookmarkStart w:id="79" w:name="page80"/>
    <w:bookmarkEnd w:id="79"/>
    <w:p>
      <w:pPr>
        <w:ind w:left="3" w:right="40"/>
        <w:spacing w:after="0" w:line="254" w:lineRule="auto"/>
        <w:rPr>
          <w:sz w:val="20"/>
          <w:szCs w:val="20"/>
          <w:color w:val="auto"/>
        </w:rPr>
      </w:pPr>
      <w:r>
        <w:rPr>
          <w:rFonts w:ascii="Times New Roman" w:cs="Times New Roman" w:eastAsia="Times New Roman" w:hAnsi="Times New Roman"/>
          <w:sz w:val="18"/>
          <w:szCs w:val="18"/>
          <w:color w:val="auto"/>
        </w:rPr>
        <w:t>therefor by Indemnitee, which request shall be accompanied by vouchers, invoices or similar evidence documenting in reasonable detail the Expenses incurred or to be incurred by Indemnitee; provided, however, that Indemnitee need not submit to the Company any information that counsel for Indemnitee reasonably deems is privileged and exempt from compulsory disclosure in any Proceeding. Execution and delivery of this Agreement by the Indemnitee constitutes an undertaking to repay such amounts advanced only if, and to the extent that, it shall finally be determined that Indemnitee is not entitled to be indemnified by the Company as authorized by this Agreement in accordance with the provisions of Section 4. No other form of undertaking shall be required other than the execution of this Agreement. Advancement shall include any and all reasonable Expenses incurred pursuing an action to enforce this right of advancement, including Expenses incurred preparing and forwarding statements to the Company to support the advances claimed.</w:t>
      </w:r>
    </w:p>
    <w:p>
      <w:pPr>
        <w:spacing w:after="0" w:line="192" w:lineRule="exact"/>
        <w:rPr>
          <w:sz w:val="20"/>
          <w:szCs w:val="20"/>
          <w:color w:val="auto"/>
        </w:rPr>
      </w:pPr>
    </w:p>
    <w:p>
      <w:pPr>
        <w:ind w:left="3" w:firstLine="745"/>
        <w:spacing w:after="0" w:line="255" w:lineRule="auto"/>
        <w:tabs>
          <w:tab w:leader="none" w:pos="111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Losses or Expenses, in connection with any Proceeding relating to an Indemnification Event under this Agreement, in such proportion as is deemed fair and reasonable by the Reviewing Party in light of all of the circumstances of such Proceeding in order to reflect (1) the relative benefits received by the Company and Indemnitee as a result of the event(s) and/or transaction(s) giving rise to such Proceeding; and (2) the relative fault of the Company (and its directors, officers, employees and agents) and Indemnitee in connection with such event(s) and/or transaction(s).</w:t>
      </w:r>
    </w:p>
    <w:p>
      <w:pPr>
        <w:spacing w:after="0" w:line="18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Procedures.</w:t>
      </w:r>
    </w:p>
    <w:p>
      <w:pPr>
        <w:spacing w:after="0" w:line="229" w:lineRule="exact"/>
        <w:rPr>
          <w:rFonts w:ascii="Times New Roman" w:cs="Times New Roman" w:eastAsia="Times New Roman" w:hAnsi="Times New Roman"/>
          <w:sz w:val="18"/>
          <w:szCs w:val="18"/>
          <w:b w:val="1"/>
          <w:bCs w:val="1"/>
          <w:color w:val="auto"/>
        </w:rPr>
      </w:pPr>
    </w:p>
    <w:p>
      <w:pPr>
        <w:ind w:left="3" w:right="120" w:firstLine="745"/>
        <w:spacing w:after="0" w:line="261" w:lineRule="auto"/>
        <w:tabs>
          <w:tab w:leader="none" w:pos="11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Indemnification Event.</w:t>
      </w:r>
      <w:r>
        <w:rPr>
          <w:rFonts w:ascii="Times New Roman" w:cs="Times New Roman" w:eastAsia="Times New Roman" w:hAnsi="Times New Roman"/>
          <w:sz w:val="18"/>
          <w:szCs w:val="18"/>
          <w:color w:val="auto"/>
        </w:rPr>
        <w:t xml:space="preserve"> Indemnitee shall give the Company notice as soon as reasonably practicable of any Indemnification Event of which Indemnitee becomes aware and of any request for indemnification hereunder, provided that any failure to so notify the Company shall not relieve the Company of any of its obligations under this Agreement except if, and then only to the extent that, such failure materially prejudices the Company under this Agreement.</w:t>
      </w:r>
    </w:p>
    <w:p>
      <w:pPr>
        <w:spacing w:after="0" w:line="179" w:lineRule="exact"/>
        <w:rPr>
          <w:rFonts w:ascii="Times New Roman" w:cs="Times New Roman" w:eastAsia="Times New Roman" w:hAnsi="Times New Roman"/>
          <w:sz w:val="18"/>
          <w:szCs w:val="18"/>
          <w:color w:val="auto"/>
        </w:rPr>
      </w:pPr>
    </w:p>
    <w:p>
      <w:pPr>
        <w:ind w:left="3" w:right="40" w:firstLine="745"/>
        <w:spacing w:after="0" w:line="255" w:lineRule="auto"/>
        <w:tabs>
          <w:tab w:leader="none" w:pos="11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Insurers.</w:t>
      </w:r>
      <w:r>
        <w:rPr>
          <w:rFonts w:ascii="Times New Roman" w:cs="Times New Roman" w:eastAsia="Times New Roman" w:hAnsi="Times New Roman"/>
          <w:sz w:val="18"/>
          <w:szCs w:val="18"/>
          <w:color w:val="auto"/>
        </w:rPr>
        <w:t xml:space="preserve"> The Company shall give prompt written notice of any Indemnification Event which may be covered by the Company’s liability insurance to the insurers in accordance with the procedures set forth in each of the applicable policies of insurance. The Company shall thereafter take all necessary or desirable action to cause such insurers to pay, on behalf of Indemnitee, all amounts payable as a result of such Indemnification Event in accordance with the terms of such policies; provided that nothing in this Section 3(b) shall affect the Company’s obligations under this Agreement or the Company’s obligations to comply with the provisions of this Agreement in a timely manner as provided. For the avoidance of doubt, nothing in this Section 3(b) or elsewhere in this Agreement shall be deemed to prohibit Indemnitee from giving notice of claims directly to the insurers.</w:t>
      </w:r>
    </w:p>
    <w:p>
      <w:pPr>
        <w:spacing w:after="0" w:line="188" w:lineRule="exact"/>
        <w:rPr>
          <w:rFonts w:ascii="Times New Roman" w:cs="Times New Roman" w:eastAsia="Times New Roman" w:hAnsi="Times New Roman"/>
          <w:sz w:val="18"/>
          <w:szCs w:val="18"/>
          <w:color w:val="auto"/>
        </w:rPr>
      </w:pPr>
    </w:p>
    <w:p>
      <w:pPr>
        <w:ind w:left="3" w:right="80" w:firstLine="745"/>
        <w:spacing w:after="0" w:line="254" w:lineRule="auto"/>
        <w:tabs>
          <w:tab w:leader="none" w:pos="11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Counsel.</w:t>
      </w:r>
      <w:r>
        <w:rPr>
          <w:rFonts w:ascii="Times New Roman" w:cs="Times New Roman" w:eastAsia="Times New Roman" w:hAnsi="Times New Roman"/>
          <w:sz w:val="18"/>
          <w:szCs w:val="18"/>
          <w:color w:val="auto"/>
        </w:rPr>
        <w:t xml:space="preserve"> If the Company shall be obligated hereunder to pay or advance Expenses or indemnify Indemnitee with respect to any Losses, the Company shall be entitled to assume the defense of any related Claims, with counsel selected by the Company. After the retention of such counsel by the Company, the Company will not be liable to Indemnitee under this Agreement for any fees of counsel subsequently incurred by Indemnitee with respect to the defense of such Claims; provided that: (i) Indemnitee shall have the right to employ counsel in connection with any such Claim at Indemnitee’s expense; and (ii) if (A) the employment of counsel by Indemnitee has been previously authorized by the Company, (B) counsel for Indemnitee shall have provided the Company with written advice that there is a conflict of interest between the Company and Indemnitee in the conduct of any such defense, or (C) the Company shall not continue to retain such counsel to defend such Claim, then the fees and expenses of Indemnitee’s counsel shall be at the expense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1560830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3"/>
          </w:cols>
          <w:pgMar w:left="1077" w:top="1417" w:right="579" w:bottom="1440" w:gutter="0" w:footer="0" w:header="0"/>
        </w:sectPr>
      </w:pPr>
    </w:p>
    <w:bookmarkStart w:id="80" w:name="page81"/>
    <w:bookmarkEnd w:id="80"/>
    <w:p>
      <w:pPr>
        <w:ind w:left="363" w:hanging="363"/>
        <w:spacing w:after="0"/>
        <w:tabs>
          <w:tab w:leader="none" w:pos="36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Determination of Right to Indemnification.</w:t>
      </w:r>
    </w:p>
    <w:p>
      <w:pPr>
        <w:spacing w:after="0" w:line="229" w:lineRule="exact"/>
        <w:rPr>
          <w:rFonts w:ascii="Times New Roman" w:cs="Times New Roman" w:eastAsia="Times New Roman" w:hAnsi="Times New Roman"/>
          <w:sz w:val="18"/>
          <w:szCs w:val="18"/>
          <w:b w:val="1"/>
          <w:bCs w:val="1"/>
          <w:color w:val="auto"/>
        </w:rPr>
      </w:pPr>
    </w:p>
    <w:p>
      <w:pPr>
        <w:ind w:left="3" w:firstLine="745"/>
        <w:spacing w:after="0" w:line="255" w:lineRule="auto"/>
        <w:tabs>
          <w:tab w:leader="none" w:pos="111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Successful Proceeding.</w:t>
      </w:r>
      <w:r>
        <w:rPr>
          <w:rFonts w:ascii="Times New Roman" w:cs="Times New Roman" w:eastAsia="Times New Roman" w:hAnsi="Times New Roman"/>
          <w:sz w:val="18"/>
          <w:szCs w:val="18"/>
          <w:color w:val="auto"/>
        </w:rPr>
        <w:t xml:space="preserve"> To the extent Indemnitee has been successful, on the merits or otherwise, in defense of any Proceeding referred to in Section 2(a), the Company shall indemnify Indemnitee against Losses and Expenses incurred by him in connection therewith. If Indemnitee is not wholly successful in such Proceeding, but is successful, on the merits or otherwise, as to one or more but less than all Claims in such Proceeding, the Company shall indemnify Indemnitee against all Losses and Expenses actually or reasonably incurred by Indemnitee in connection with each successfully resolved Claim to the fullest extent permitted by applicable law. For purposes of this section, the termination of any Claim in such a Proceeding by dismissal, with or without prejudice, shall be deemed to be a successful result as to such Claim.</w:t>
      </w:r>
    </w:p>
    <w:p>
      <w:pPr>
        <w:spacing w:after="0" w:line="188" w:lineRule="exact"/>
        <w:rPr>
          <w:rFonts w:ascii="Times New Roman" w:cs="Times New Roman" w:eastAsia="Times New Roman" w:hAnsi="Times New Roman"/>
          <w:sz w:val="18"/>
          <w:szCs w:val="18"/>
          <w:color w:val="auto"/>
        </w:rPr>
      </w:pPr>
    </w:p>
    <w:p>
      <w:pPr>
        <w:ind w:left="3" w:right="220" w:firstLine="745"/>
        <w:spacing w:after="0" w:line="266" w:lineRule="auto"/>
        <w:tabs>
          <w:tab w:leader="none" w:pos="111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Proceedings.</w:t>
      </w:r>
      <w:r>
        <w:rPr>
          <w:rFonts w:ascii="Times New Roman" w:cs="Times New Roman" w:eastAsia="Times New Roman" w:hAnsi="Times New Roman"/>
          <w:sz w:val="18"/>
          <w:szCs w:val="18"/>
          <w:color w:val="auto"/>
        </w:rPr>
        <w:t xml:space="preserve"> In the event that Section 4(a) is inapplicable, the Company shall nevertheless indemnify Indemnitee as provided in Section 2(a), 2(b) or 2(c), as applicable, or provide a contribution payment to the Indemnitee as provided in Section 2(e), to the extent determined by the Reviewing Party.</w:t>
      </w:r>
    </w:p>
    <w:p>
      <w:pPr>
        <w:spacing w:after="0" w:line="175" w:lineRule="exact"/>
        <w:rPr>
          <w:rFonts w:ascii="Times New Roman" w:cs="Times New Roman" w:eastAsia="Times New Roman" w:hAnsi="Times New Roman"/>
          <w:sz w:val="18"/>
          <w:szCs w:val="18"/>
          <w:color w:val="auto"/>
        </w:rPr>
      </w:pPr>
    </w:p>
    <w:p>
      <w:pPr>
        <w:ind w:left="3" w:right="380" w:firstLine="745"/>
        <w:spacing w:after="0" w:line="282" w:lineRule="auto"/>
        <w:tabs>
          <w:tab w:leader="none" w:pos="111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 Determination.</w:t>
      </w:r>
      <w:r>
        <w:rPr>
          <w:rFonts w:ascii="Times New Roman" w:cs="Times New Roman" w:eastAsia="Times New Roman" w:hAnsi="Times New Roman"/>
          <w:sz w:val="18"/>
          <w:szCs w:val="18"/>
          <w:color w:val="auto"/>
        </w:rPr>
        <w:t xml:space="preserve"> A Reviewing Party chosen by the Company’s board of directors shall determine whether Indemnitee is entitled to indemnification, subject to the following:</w:t>
      </w:r>
    </w:p>
    <w:p>
      <w:pPr>
        <w:spacing w:after="0" w:line="161" w:lineRule="exact"/>
        <w:rPr>
          <w:rFonts w:ascii="Times New Roman" w:cs="Times New Roman" w:eastAsia="Times New Roman" w:hAnsi="Times New Roman"/>
          <w:sz w:val="18"/>
          <w:szCs w:val="18"/>
          <w:color w:val="auto"/>
        </w:rPr>
      </w:pPr>
    </w:p>
    <w:p>
      <w:pPr>
        <w:ind w:left="743" w:right="420" w:firstLine="754"/>
        <w:spacing w:after="0" w:line="282" w:lineRule="auto"/>
        <w:tabs>
          <w:tab w:leader="none" w:pos="185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Reviewing Party so chosen shall act in the utmost good faith to assure Indemnitee a complete opportunity to present to such Reviewing Party Indemnitee’s case that Indemnitee has met the applicable standard of conduct.</w:t>
      </w:r>
    </w:p>
    <w:p>
      <w:pPr>
        <w:spacing w:after="0" w:line="161" w:lineRule="exact"/>
        <w:rPr>
          <w:rFonts w:ascii="Times New Roman" w:cs="Times New Roman" w:eastAsia="Times New Roman" w:hAnsi="Times New Roman"/>
          <w:sz w:val="18"/>
          <w:szCs w:val="18"/>
          <w:color w:val="auto"/>
        </w:rPr>
      </w:pPr>
    </w:p>
    <w:p>
      <w:pPr>
        <w:ind w:left="743" w:right="40" w:firstLine="754"/>
        <w:spacing w:after="0" w:line="253" w:lineRule="auto"/>
        <w:tabs>
          <w:tab w:leader="none" w:pos="185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deemed to have acted in good faith if Indemnitee’s action is based on the records or books of account of a Covered Entity, including, without limitation, its financial statements, or on information supplied to Indemnitee by the officers or employees of a Covered Entity in the course of their duties, or on the advice of legal counsel for a Covered Entity or on information or records given, or reports made, to a Covered Entity by an independent certified public accountant or by an appraiser or other expert selected with reasonable care by a Covered Entity. In addition, the knowledge and/or actions, or failure to act, of any director, officer, agent or employee of a Covered Entity shall not be imputed to Indemnitee for purposes of determining the right to indemnification under this Agreement. Whether or not the foregoing provisions of this Section 4(c)(ii) are satisfied, it shall in any event be presumed that Indemnitee has at all times acted in good faith and in a manner Indemnitee reasonably believed to be in or not opposed to the best interests of the Company. Any Person seeking to overcome this presumption shall have the burden of proof and the burden of persuasion, by clear and convincing evidence.</w:t>
      </w:r>
    </w:p>
    <w:p>
      <w:pPr>
        <w:spacing w:after="0" w:line="194" w:lineRule="exact"/>
        <w:rPr>
          <w:rFonts w:ascii="Times New Roman" w:cs="Times New Roman" w:eastAsia="Times New Roman" w:hAnsi="Times New Roman"/>
          <w:sz w:val="18"/>
          <w:szCs w:val="18"/>
          <w:color w:val="auto"/>
        </w:rPr>
      </w:pPr>
    </w:p>
    <w:p>
      <w:pPr>
        <w:ind w:left="743" w:firstLine="754"/>
        <w:spacing w:after="0" w:line="253" w:lineRule="auto"/>
        <w:tabs>
          <w:tab w:leader="none" w:pos="189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Reviewing Party chosen pursuant to this Section 4(c) shall not have made a determination whether Indemnitee is entitled to indemnification within thirty (30) days after receipt by the Company of the request therefor, the requisite determination of entitlement to indemnification shall be deemed to have been made and Indemnitee shall be entitled to such indemnification, absent (A) a misstatement by Indemnitee of a material fact, or an omission of a material fact necessary to make Indemnitee’s statement not materially misleading, in connection with the request for indemnification, or (B) a prohibition of such indemnification under applicable law; provided, however, that such 30 day period may be extended for a reasonable time, not to exceed an additional fifteen (15) days, if the Reviewing Party in good faith requires such additional time for obtaining or evaluating documentation and/or information relating thereto; and provided, further, that the foregoing provisions of this Section 4(c)(iii) shall not apply if (I) the determination of entitlement to indemnification is to be made by the stockholders of the Company, (II) a special meeting of stockholders is called by the board of directors of the Company for such purpose within thirty (30) days after the stockholders are chosen as the Reviewing Party, (III) such meeting is held for such purpose within sixty (60) days after having been so called, and (IV) such determination is made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1010920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3"/>
          </w:cols>
          <w:pgMar w:left="1077" w:top="1413" w:right="579" w:bottom="1440" w:gutter="0" w:footer="0" w:header="0"/>
        </w:sectPr>
      </w:pPr>
    </w:p>
    <w:bookmarkStart w:id="81" w:name="page82"/>
    <w:bookmarkEnd w:id="81"/>
    <w:p>
      <w:pPr>
        <w:spacing w:after="0" w:line="194" w:lineRule="exact"/>
        <w:rPr>
          <w:sz w:val="20"/>
          <w:szCs w:val="20"/>
          <w:color w:val="auto"/>
        </w:rPr>
      </w:pPr>
    </w:p>
    <w:p>
      <w:pPr>
        <w:ind w:left="3" w:firstLine="745"/>
        <w:spacing w:after="0" w:line="254" w:lineRule="auto"/>
        <w:tabs>
          <w:tab w:leader="none" w:pos="111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Appeal to Court.</w:t>
      </w:r>
      <w:r>
        <w:rPr>
          <w:rFonts w:ascii="Times New Roman" w:cs="Times New Roman" w:eastAsia="Times New Roman" w:hAnsi="Times New Roman"/>
          <w:sz w:val="18"/>
          <w:szCs w:val="18"/>
          <w:color w:val="auto"/>
        </w:rPr>
        <w:t xml:space="preserve"> Notwithstanding a determination by a Reviewing Party chosen pursuant to Section 4(c) that Indemnitee is not entitled to indemnification with respect to a specific Claim or Proceeding (an “Adverse Determination”), Indemnitee shall have the right to apply to the court in which that Claim or Proceeding is or was pending or any other court of competent jurisdiction for the purpose of enforcing Indemnitee's right to indemnification pursuant to this Agreement, provided that Indemnitee shall commence any such Proceeding seeking to enforce Indemnitee’s right to indemnification within one (1) year following the date upon which Indemnitee is notified in writing by the Company of the Adverse Determination. In the event of any dispute between the parties concerning their respective rights and obligations hereunder, the Company shall have the burden of proving that the Company is not obligated to make the payment or advance claimed by Indemnitee.</w:t>
      </w:r>
    </w:p>
    <w:p>
      <w:pPr>
        <w:spacing w:after="0" w:line="191" w:lineRule="exact"/>
        <w:rPr>
          <w:rFonts w:ascii="Times New Roman" w:cs="Times New Roman" w:eastAsia="Times New Roman" w:hAnsi="Times New Roman"/>
          <w:sz w:val="18"/>
          <w:szCs w:val="18"/>
          <w:color w:val="auto"/>
        </w:rPr>
      </w:pPr>
    </w:p>
    <w:p>
      <w:pPr>
        <w:ind w:left="3" w:right="40" w:firstLine="745"/>
        <w:spacing w:after="0" w:line="256" w:lineRule="auto"/>
        <w:tabs>
          <w:tab w:leader="none" w:pos="111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Presumption of Success.</w:t>
      </w:r>
      <w:r>
        <w:rPr>
          <w:rFonts w:ascii="Times New Roman" w:cs="Times New Roman" w:eastAsia="Times New Roman" w:hAnsi="Times New Roman"/>
          <w:sz w:val="18"/>
          <w:szCs w:val="18"/>
          <w:color w:val="auto"/>
        </w:rPr>
        <w:t xml:space="preserve"> The Company acknowledges that a settlement or other disposition short of final judgment shall be deemed a successful resolution for purposes of Section 4(a) if it permits a party to avoid expense, delay, distraction, disruption or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87" w:lineRule="exact"/>
        <w:rPr>
          <w:rFonts w:ascii="Times New Roman" w:cs="Times New Roman" w:eastAsia="Times New Roman" w:hAnsi="Times New Roman"/>
          <w:sz w:val="18"/>
          <w:szCs w:val="18"/>
          <w:color w:val="auto"/>
        </w:rPr>
      </w:pPr>
    </w:p>
    <w:p>
      <w:pPr>
        <w:ind w:left="3" w:firstLine="745"/>
        <w:spacing w:after="0" w:line="269" w:lineRule="auto"/>
        <w:tabs>
          <w:tab w:leader="none" w:pos="1112"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and Termination of Claims.</w:t>
      </w:r>
      <w:r>
        <w:rPr>
          <w:rFonts w:ascii="Times New Roman" w:cs="Times New Roman" w:eastAsia="Times New Roman" w:hAnsi="Times New Roman"/>
          <w:sz w:val="17"/>
          <w:szCs w:val="17"/>
          <w:color w:val="auto"/>
        </w:rPr>
        <w:t xml:space="preserve"> The Company shall not be liable to indemnify Indemnitee under this Agreement or otherwise for any amounts paid in settlement of any Proceeding effected without the Company’s written consent. The Company shall not settle any Proceeding in any manner that would impose any penalty or limitation on Indemnitee without Indemnitee’s written consent. Neither the Company nor the Indemnitee will unreasonably withhold, delay or refuse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77" w:lineRule="exact"/>
        <w:rPr>
          <w:rFonts w:ascii="Times New Roman" w:cs="Times New Roman" w:eastAsia="Times New Roman" w:hAnsi="Times New Roman"/>
          <w:sz w:val="17"/>
          <w:szCs w:val="17"/>
          <w:color w:val="auto"/>
        </w:rPr>
      </w:pPr>
    </w:p>
    <w:p>
      <w:pPr>
        <w:ind w:left="363" w:hanging="363"/>
        <w:spacing w:after="0"/>
        <w:tabs>
          <w:tab w:leader="none" w:pos="36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Indemnification Rights; Non-exclusivity.</w:t>
      </w:r>
    </w:p>
    <w:p>
      <w:pPr>
        <w:spacing w:after="0" w:line="229" w:lineRule="exact"/>
        <w:rPr>
          <w:rFonts w:ascii="Times New Roman" w:cs="Times New Roman" w:eastAsia="Times New Roman" w:hAnsi="Times New Roman"/>
          <w:sz w:val="18"/>
          <w:szCs w:val="18"/>
          <w:b w:val="1"/>
          <w:bCs w:val="1"/>
          <w:color w:val="auto"/>
        </w:rPr>
      </w:pPr>
    </w:p>
    <w:p>
      <w:pPr>
        <w:ind w:left="3" w:firstLine="745"/>
        <w:spacing w:after="0" w:line="254" w:lineRule="auto"/>
        <w:tabs>
          <w:tab w:leader="none" w:pos="111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xml:space="preserve"> The Company hereby agrees to indemnify Indemnitee to the fullest extent permitted by law, even if such indemnification is not specifically authorized by the other provisions of this Agreement or any other agreement, the Organizational Documents of any Covered Entity or by applicable law. In the event of any change after the date of this Agreement in any applicable law, statute or rule that expands the right of a Delaware corporation to indemnify a member of its board of directors or an officer, employee, controlling person, agent or fiduciary, it is the intent of the parties hereto that Indemnitee shall enjoy by this Agreement the greater benefits afforded by such change. In the event of any change in any applicable law, statute or rule that narrows the right of a Delaware corporation to indemnify a member of its board of directors or an officer, employee, controlling person, agent or fiduciary, such change, to the extent not otherwise required by such law, statute or rule to be applied to this Agreement, shall have no effect on this Agreement or the parties rights and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1421765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3"/>
          </w:cols>
          <w:pgMar w:left="1077" w:top="1440" w:right="579" w:bottom="1440" w:gutter="0" w:footer="0" w:header="0"/>
        </w:sectPr>
      </w:pPr>
    </w:p>
    <w:bookmarkStart w:id="82" w:name="page83"/>
    <w:bookmarkEnd w:id="82"/>
    <w:p>
      <w:pPr>
        <w:ind w:left="3" w:right="40" w:firstLine="745"/>
        <w:spacing w:after="0" w:line="253" w:lineRule="auto"/>
        <w:tabs>
          <w:tab w:leader="none" w:pos="111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xml:space="preserve"> The rights to indemnification, contribution and advancement of Expenses provided in this Agreement shall not be deemed exclusive of, but shall be in addition to, any other rights to which Indemnitee may at any time be entitled under the Organizational Documents of any Covered Entity, any other agreement, any vote of stockholders or Disinterested Directors, the laws of the State of Delaware or otherwise and shall be interpreted independently of, and without reference to, any other such rights to which Indemnitee may at any time be entitled. Furthermore,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of any right or remedy hereunder or otherwise shall not prevent the concurrent assertion of any other right or remedy. The rights to indemnification, contribution and advancement of Expenses provided in this Agreement shall continue as to Indemnitee for any action Indemnitee took or did not take while serving in an indemnified capacity even though Indemnitee may have ceased to serve in such capacity.</w:t>
      </w:r>
    </w:p>
    <w:p>
      <w:pPr>
        <w:spacing w:after="0" w:line="194" w:lineRule="exact"/>
        <w:rPr>
          <w:rFonts w:ascii="Times New Roman" w:cs="Times New Roman" w:eastAsia="Times New Roman" w:hAnsi="Times New Roman"/>
          <w:sz w:val="18"/>
          <w:szCs w:val="18"/>
          <w:color w:val="auto"/>
        </w:rPr>
      </w:pPr>
    </w:p>
    <w:p>
      <w:pPr>
        <w:ind w:left="3" w:firstLine="745"/>
        <w:spacing w:after="0" w:line="253" w:lineRule="auto"/>
        <w:tabs>
          <w:tab w:leader="none" w:pos="111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Primary Responsibility.</w:t>
      </w:r>
      <w:r>
        <w:rPr>
          <w:rFonts w:ascii="Times New Roman" w:cs="Times New Roman" w:eastAsia="Times New Roman" w:hAnsi="Times New Roman"/>
          <w:sz w:val="18"/>
          <w:szCs w:val="18"/>
          <w:color w:val="auto"/>
        </w:rPr>
        <w:t xml:space="preserve"> The Company acknowledges that Indemnitee has certain rights to indemnification and advancement of expenses provided by [●] and certain of its affiliates (collectively, the “Secondary Indemnitors”). The Company agrees that, as between the Company and the Secondary Indemnitors, the Company is primarily responsible for amounts required to be indemnified or advanced under the Company’s Organizational Documents or this Agreement and any obligation of the Secondary Indemnitors to provide indemnification or advancement for the same amounts is secondary to those Company obligations. The Company waives any right of contribution or subrogation against the Secondary Indemnitors with respect to the liabilities for which the Company is primarily responsible under this Section (c)(c). In the event of any payment by the Secondary Indemnitors of amounts otherwise required to be indemnified or advanced by the Company under the Company’s Organizational Documents or this Agreement, the Secondary Indemnitors shall be subrogated to the extent of such payment to all of the rights of recovery of Indemnitee for indemnification or advancement of expenses under the Company’s Organizational Documents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5(c).</w:t>
      </w:r>
    </w:p>
    <w:p>
      <w:pPr>
        <w:spacing w:after="0" w:line="185" w:lineRule="exact"/>
        <w:rPr>
          <w:rFonts w:ascii="Times New Roman" w:cs="Times New Roman" w:eastAsia="Times New Roman" w:hAnsi="Times New Roman"/>
          <w:sz w:val="18"/>
          <w:szCs w:val="18"/>
          <w:color w:val="auto"/>
        </w:rPr>
      </w:pPr>
    </w:p>
    <w:p>
      <w:pPr>
        <w:jc w:val="both"/>
        <w:ind w:left="3" w:right="300" w:hanging="3"/>
        <w:spacing w:after="0" w:line="291" w:lineRule="auto"/>
        <w:tabs>
          <w:tab w:leader="none" w:pos="363"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Duplication of Payments</w:t>
      </w:r>
      <w:r>
        <w:rPr>
          <w:rFonts w:ascii="Times New Roman" w:cs="Times New Roman" w:eastAsia="Times New Roman" w:hAnsi="Times New Roman"/>
          <w:sz w:val="17"/>
          <w:szCs w:val="17"/>
          <w:color w:val="auto"/>
        </w:rPr>
        <w:t>. The Company shall not be liable under this Agreement to make any payment of any amount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indemnifiable hereunder, or for which advancement is provided hereunder, if and to the extent Indemnitee has otherwise actually received such payment, whether pursuant to any insurance policy, the Organizational Documents of any Covered Entity or otherwise.</w:t>
      </w:r>
    </w:p>
    <w:p>
      <w:pPr>
        <w:spacing w:after="0" w:line="152" w:lineRule="exact"/>
        <w:rPr>
          <w:rFonts w:ascii="Times New Roman" w:cs="Times New Roman" w:eastAsia="Times New Roman" w:hAnsi="Times New Roman"/>
          <w:sz w:val="17"/>
          <w:szCs w:val="17"/>
          <w:b w:val="1"/>
          <w:bCs w:val="1"/>
          <w:color w:val="auto"/>
        </w:rPr>
      </w:pPr>
    </w:p>
    <w:p>
      <w:pPr>
        <w:ind w:left="3" w:right="80" w:hanging="3"/>
        <w:spacing w:after="0" w:line="255" w:lineRule="auto"/>
        <w:tabs>
          <w:tab w:leader="none" w:pos="36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Mutual Acknowledgment.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the Company and Indemnitee acknowledge that, in certain instances, Federal law or public policy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override applicable state law and prohibit the Company from indemnifying its directors and officers under this Agreement or otherwise. For example, the Company and Indemnitee acknowledge that the SEC has taken the position that indemnification is not permissible for liabilities arising under certain Federal securities laws, and Federal legislation prohibits indemnification for certain violations of the Employee Retirement Income Security Act of 1979, as amended.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 and any right to indemnification hereunder shall be subject to, and conditioned upon, any such required court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1970405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3"/>
          </w:cols>
          <w:pgMar w:left="1077" w:top="1417" w:right="559" w:bottom="1440" w:gutter="0" w:footer="0" w:header="0"/>
        </w:sectPr>
      </w:pPr>
    </w:p>
    <w:bookmarkStart w:id="83" w:name="page84"/>
    <w:bookmarkEnd w:id="83"/>
    <w:p>
      <w:pPr>
        <w:ind w:left="3" w:right="20" w:hanging="3"/>
        <w:spacing w:after="0" w:line="257" w:lineRule="auto"/>
        <w:tabs>
          <w:tab w:leader="none" w:pos="36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maintain liability insurance applicable to directors and officers of the Company and shall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to be named as an insured in such a manner as to provide Indemnitee the same rights and benefits as are accorded to the most favorably insured of the Company’s officers and directors (other than in the case of an independent director liability insurance policy if Indemnitee is not an independent or outside director). The Company shall advise Indemnitee as to the general terms of, and the amounts of coverage provide by, any liability insurance policy described in this Section 8 and shall promptly notify Indemnitee if, at any time, any such insurance policy is terminated or expired without renewal or if the amount of coverage under any such insurance policy will be decreased.</w:t>
      </w:r>
    </w:p>
    <w:p>
      <w:pPr>
        <w:spacing w:after="0" w:line="398" w:lineRule="exact"/>
        <w:rPr>
          <w:rFonts w:ascii="Times New Roman" w:cs="Times New Roman" w:eastAsia="Times New Roman" w:hAnsi="Times New Roman"/>
          <w:sz w:val="18"/>
          <w:szCs w:val="18"/>
          <w:b w:val="1"/>
          <w:bCs w:val="1"/>
          <w:color w:val="auto"/>
        </w:rPr>
      </w:pPr>
    </w:p>
    <w:p>
      <w:pPr>
        <w:ind w:left="3" w:hanging="3"/>
        <w:spacing w:after="0" w:line="286" w:lineRule="auto"/>
        <w:tabs>
          <w:tab w:leader="none" w:pos="36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provision herein to the contrary notwithstanding, the Company shall not be obligated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indemnify Indemnitee:</w:t>
      </w:r>
    </w:p>
    <w:p>
      <w:pPr>
        <w:spacing w:after="0" w:line="158" w:lineRule="exact"/>
        <w:rPr>
          <w:rFonts w:ascii="Times New Roman" w:cs="Times New Roman" w:eastAsia="Times New Roman" w:hAnsi="Times New Roman"/>
          <w:sz w:val="18"/>
          <w:szCs w:val="18"/>
          <w:b w:val="1"/>
          <w:bCs w:val="1"/>
          <w:color w:val="auto"/>
        </w:rPr>
      </w:pPr>
    </w:p>
    <w:p>
      <w:pPr>
        <w:ind w:left="3" w:right="40" w:firstLine="745"/>
        <w:spacing w:after="0" w:line="258" w:lineRule="auto"/>
        <w:tabs>
          <w:tab w:leader="none" w:pos="111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Losses or Expenses, or advance Expenses to Indemnitee, with respect to Claims initiated or brought voluntarily by Indemnitee, and not by way of defense (including, without limitation, affirmative defenses and counter-claims), except (i) Claims to establish or enforce a right to indemnification, contribution or advancement with respect to an Indemnification Event, whether under this Agreement, any other agreement or insurance policy, the Company’s Organizational Documents of any Covered Entity, the laws of the State of Delaware or otherwise, or (ii) if the Company’s board of directors has approved specifically the initiation or bringing of such Claim;</w:t>
      </w:r>
    </w:p>
    <w:p>
      <w:pPr>
        <w:spacing w:after="0" w:line="183" w:lineRule="exact"/>
        <w:rPr>
          <w:rFonts w:ascii="Times New Roman" w:cs="Times New Roman" w:eastAsia="Times New Roman" w:hAnsi="Times New Roman"/>
          <w:sz w:val="18"/>
          <w:szCs w:val="18"/>
          <w:color w:val="auto"/>
        </w:rPr>
      </w:pPr>
    </w:p>
    <w:p>
      <w:pPr>
        <w:ind w:left="3" w:right="60" w:firstLine="745"/>
        <w:spacing w:after="0" w:line="258" w:lineRule="auto"/>
        <w:tabs>
          <w:tab w:leader="none" w:pos="111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Losses or Expenses, or advance Expenses to Indemnitee, with respect to Claims arising (i) with respect to an accounting of profits made from the purchase and sale (or sale and purchase) by Indemnitee of securities of the Company within the meaning of Section 16(b) of the Exchange Act or (ii) pursuant to Section 304 or 306 of the Sarbanes-Oxley Act of 2002, as amended, or any rule or regulation promulgated pursuant thereto; provided that the Company shall be obligated to advance Expenses to Indemnitee for the purpose of defending of such Claims; or</w:t>
      </w:r>
    </w:p>
    <w:p>
      <w:pPr>
        <w:spacing w:after="0" w:line="183" w:lineRule="exact"/>
        <w:rPr>
          <w:rFonts w:ascii="Times New Roman" w:cs="Times New Roman" w:eastAsia="Times New Roman" w:hAnsi="Times New Roman"/>
          <w:sz w:val="18"/>
          <w:szCs w:val="18"/>
          <w:color w:val="auto"/>
        </w:rPr>
      </w:pPr>
    </w:p>
    <w:p>
      <w:pPr>
        <w:ind w:left="1003" w:hanging="255"/>
        <w:spacing w:after="0"/>
        <w:tabs>
          <w:tab w:leader="none" w:pos="10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 court of competent jurisdiction renders a final, unappealable decision that such indemnification is not</w:t>
      </w:r>
    </w:p>
    <w:p>
      <w:pPr>
        <w:spacing w:after="0" w:line="27"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lawful.</w:t>
      </w:r>
    </w:p>
    <w:p>
      <w:pPr>
        <w:spacing w:after="0" w:line="202"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1103" w:hanging="355"/>
        <w:spacing w:after="0"/>
        <w:tabs>
          <w:tab w:leader="none" w:pos="11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one or more counterparts, each of which shall constitute an original.</w:t>
      </w:r>
    </w:p>
    <w:p>
      <w:pPr>
        <w:spacing w:after="0" w:line="225" w:lineRule="exact"/>
        <w:rPr>
          <w:rFonts w:ascii="Times New Roman" w:cs="Times New Roman" w:eastAsia="Times New Roman" w:hAnsi="Times New Roman"/>
          <w:sz w:val="18"/>
          <w:szCs w:val="18"/>
          <w:color w:val="auto"/>
        </w:rPr>
      </w:pPr>
    </w:p>
    <w:p>
      <w:pPr>
        <w:ind w:left="3" w:right="100" w:firstLine="745"/>
        <w:spacing w:after="0" w:line="254" w:lineRule="auto"/>
        <w:tabs>
          <w:tab w:leader="none" w:pos="111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Successors and Assigns.</w:t>
      </w:r>
      <w:r>
        <w:rPr>
          <w:rFonts w:ascii="Times New Roman" w:cs="Times New Roman" w:eastAsia="Times New Roman" w:hAnsi="Times New Roman"/>
          <w:sz w:val="18"/>
          <w:szCs w:val="18"/>
          <w:color w:val="auto"/>
        </w:rPr>
        <w:t xml:space="preserve"> This Agreement shall be binding upon and inure to the benefit of and be enforceable by the parties hereto and their respective successors and assigns (including with respect to the Company, any direct or indirect successor by purchase, merger, consolidation or otherwise to all or substantially all of the business and/or assets of the Company) and with respect to Indemnitee, his or her spouse, heirs, and personal and legal representatives. The Company shall require and cause any successor or assign (whether direct or indirect, by purchase, merger, consolidation or otherwise) to all, substantially all, or a substantial part, of the business and/or assets of the Company, to assume and agree to perform this Agreement in the same manner and to the same extent that the Company would be required to perform if no such succession or assignment had taken place. This Agreement shall continue in effect with respect to Claims relating to Indemnification Events regardless of whether Indemnitee continues to serve as a director, officer, employee, controlling person, agent or fiduciary of any Covered Entity.</w:t>
      </w:r>
    </w:p>
    <w:p>
      <w:pPr>
        <w:spacing w:after="0" w:line="188" w:lineRule="exact"/>
        <w:rPr>
          <w:rFonts w:ascii="Times New Roman" w:cs="Times New Roman" w:eastAsia="Times New Roman" w:hAnsi="Times New Roman"/>
          <w:sz w:val="18"/>
          <w:szCs w:val="18"/>
          <w:color w:val="auto"/>
        </w:rPr>
      </w:pPr>
    </w:p>
    <w:p>
      <w:pPr>
        <w:ind w:left="3" w:right="100" w:firstLine="745"/>
        <w:spacing w:after="0" w:line="258" w:lineRule="auto"/>
        <w:tabs>
          <w:tab w:leader="none" w:pos="111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All notices and other communications required or permitted hereunder shall be in writing, shall be effective when given, and shall in any event be deemed to be given (a) five (5) days after deposit with the U.S. Postal Service or other applicable postal service, if delivered by first class mail, postage prepaid, (b) upon delivery, if delivered by hand, or (c) one (1) business day after the business day of deposit with Federal Express or similar, nationally recognized overnight courier, freight prepaid, if to Indemnitee, to the Indemnitee’s address as set forth beneath the Indemnitee’s signature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869950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3"/>
          </w:cols>
          <w:pgMar w:left="1077" w:top="1413" w:right="579" w:bottom="1440" w:gutter="0" w:footer="0" w:header="0"/>
        </w:sectPr>
      </w:pPr>
    </w:p>
    <w:bookmarkStart w:id="84" w:name="page85"/>
    <w:bookmarkEnd w:id="84"/>
    <w:p>
      <w:pPr>
        <w:ind w:right="120"/>
        <w:spacing w:after="0" w:line="282" w:lineRule="auto"/>
        <w:rPr>
          <w:sz w:val="20"/>
          <w:szCs w:val="20"/>
          <w:color w:val="auto"/>
        </w:rPr>
      </w:pPr>
      <w:r>
        <w:rPr>
          <w:rFonts w:ascii="Times New Roman" w:cs="Times New Roman" w:eastAsia="Times New Roman" w:hAnsi="Times New Roman"/>
          <w:sz w:val="18"/>
          <w:szCs w:val="18"/>
          <w:color w:val="auto"/>
        </w:rPr>
        <w:t>this Agreement, or, if to the Company, at the address of its principal corporate offices (attention: Secretary), or at such other address as such party may designate to the other party hereto.</w:t>
      </w:r>
    </w:p>
    <w:p>
      <w:pPr>
        <w:spacing w:after="0" w:line="162" w:lineRule="exact"/>
        <w:rPr>
          <w:sz w:val="20"/>
          <w:szCs w:val="20"/>
          <w:color w:val="auto"/>
        </w:rPr>
      </w:pPr>
    </w:p>
    <w:p>
      <w:pPr>
        <w:ind w:right="120" w:firstLine="745"/>
        <w:spacing w:after="0" w:line="282"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This Agreement is a legal, valid and binding obligation of the Company, enforceable against the Company in accordance with its terms.</w:t>
      </w:r>
    </w:p>
    <w:p>
      <w:pPr>
        <w:spacing w:after="0" w:line="161" w:lineRule="exact"/>
        <w:rPr>
          <w:rFonts w:ascii="Times New Roman" w:cs="Times New Roman" w:eastAsia="Times New Roman" w:hAnsi="Times New Roman"/>
          <w:sz w:val="18"/>
          <w:szCs w:val="18"/>
          <w:color w:val="auto"/>
        </w:rPr>
      </w:pPr>
    </w:p>
    <w:p>
      <w:pPr>
        <w:ind w:right="80" w:firstLine="745"/>
        <w:spacing w:after="0" w:line="261"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The Company and Indemnitee each hereby irrevocably consent to the jurisdiction and venue of the courts of the State of Delaware for all purposes in connection with any Proceeding which arises out of or relates to this Agreement and agree that any Proceeding instituted under this Agreement shall be commenced, prosecuted and continued only in the courts of the State of Delaware.</w:t>
      </w:r>
    </w:p>
    <w:p>
      <w:pPr>
        <w:spacing w:after="0" w:line="179" w:lineRule="exact"/>
        <w:rPr>
          <w:rFonts w:ascii="Times New Roman" w:cs="Times New Roman" w:eastAsia="Times New Roman" w:hAnsi="Times New Roman"/>
          <w:sz w:val="18"/>
          <w:szCs w:val="18"/>
          <w:color w:val="auto"/>
        </w:rPr>
      </w:pPr>
    </w:p>
    <w:p>
      <w:pPr>
        <w:ind w:firstLine="745"/>
        <w:spacing w:after="0" w:line="256" w:lineRule="auto"/>
        <w:tabs>
          <w:tab w:leader="none" w:pos="11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extent manifested by the provision held invalid, illegal or unenforceable.</w:t>
      </w:r>
    </w:p>
    <w:p>
      <w:pPr>
        <w:spacing w:after="0" w:line="187" w:lineRule="exact"/>
        <w:rPr>
          <w:rFonts w:ascii="Times New Roman" w:cs="Times New Roman" w:eastAsia="Times New Roman" w:hAnsi="Times New Roman"/>
          <w:sz w:val="18"/>
          <w:szCs w:val="18"/>
          <w:color w:val="auto"/>
        </w:rPr>
      </w:pPr>
    </w:p>
    <w:p>
      <w:pPr>
        <w:ind w:right="140" w:firstLine="745"/>
        <w:spacing w:after="0" w:line="282"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xml:space="preserve"> This Agreement shall be governed by and its provisions shall be construed and enforced in accordance with, the laws of the State of Delaware, without regard to the conflict of laws principles thereof.</w:t>
      </w:r>
    </w:p>
    <w:p>
      <w:pPr>
        <w:spacing w:after="0" w:line="161" w:lineRule="exact"/>
        <w:rPr>
          <w:rFonts w:ascii="Times New Roman" w:cs="Times New Roman" w:eastAsia="Times New Roman" w:hAnsi="Times New Roman"/>
          <w:sz w:val="18"/>
          <w:szCs w:val="18"/>
          <w:color w:val="auto"/>
        </w:rPr>
      </w:pPr>
    </w:p>
    <w:p>
      <w:pPr>
        <w:jc w:val="both"/>
        <w:ind w:right="20" w:firstLine="745"/>
        <w:spacing w:after="0" w:line="266"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xml:space="preserve"> [Except as set forth in Section 5(c) herein,]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75" w:lineRule="exact"/>
        <w:rPr>
          <w:rFonts w:ascii="Times New Roman" w:cs="Times New Roman" w:eastAsia="Times New Roman" w:hAnsi="Times New Roman"/>
          <w:sz w:val="18"/>
          <w:szCs w:val="18"/>
          <w:color w:val="auto"/>
        </w:rPr>
      </w:pPr>
    </w:p>
    <w:p>
      <w:pPr>
        <w:jc w:val="both"/>
        <w:ind w:right="80" w:firstLine="745"/>
        <w:spacing w:after="0" w:line="261"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xml:space="preserve"> No amendment, modification, termination or cancellation of this Agreement shall be effective unless it is in a writing signed by the party to be bound thereby. Notice of same shall be provided to the other party hereto. No waiver of any of the provisions of this Agreement shall be deemed or shall constitute a waiver of any other provisions hereof (whether or not similar) nor shall such waiver constitute a continuing waiver.</w:t>
      </w:r>
    </w:p>
    <w:p>
      <w:pPr>
        <w:spacing w:after="0" w:line="179" w:lineRule="exact"/>
        <w:rPr>
          <w:rFonts w:ascii="Times New Roman" w:cs="Times New Roman" w:eastAsia="Times New Roman" w:hAnsi="Times New Roman"/>
          <w:sz w:val="18"/>
          <w:szCs w:val="18"/>
          <w:color w:val="auto"/>
        </w:rPr>
      </w:pPr>
    </w:p>
    <w:p>
      <w:pPr>
        <w:ind w:right="20" w:firstLine="745"/>
        <w:spacing w:after="0" w:line="266"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Construction as Employment Agreement.</w:t>
      </w:r>
      <w:r>
        <w:rPr>
          <w:rFonts w:ascii="Times New Roman" w:cs="Times New Roman" w:eastAsia="Times New Roman" w:hAnsi="Times New Roman"/>
          <w:sz w:val="18"/>
          <w:szCs w:val="18"/>
          <w:color w:val="auto"/>
        </w:rPr>
        <w:t xml:space="preserve"> This Agreement is not an employment agreement between the Company and the Indemnitee and nothing contained in this Agreement shall be construed as giving Indemnitee any right to be retained or continue in the employ or service of any Covered Entity.</w:t>
      </w:r>
    </w:p>
    <w:p>
      <w:pPr>
        <w:spacing w:after="0" w:line="175" w:lineRule="exact"/>
        <w:rPr>
          <w:rFonts w:ascii="Times New Roman" w:cs="Times New Roman" w:eastAsia="Times New Roman" w:hAnsi="Times New Roman"/>
          <w:sz w:val="18"/>
          <w:szCs w:val="18"/>
          <w:color w:val="auto"/>
        </w:rPr>
      </w:pPr>
    </w:p>
    <w:p>
      <w:pPr>
        <w:ind w:right="420" w:firstLine="745"/>
        <w:spacing w:after="0" w:line="266"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Supersedes Previous Agreements.</w:t>
      </w:r>
      <w:r>
        <w:rPr>
          <w:rFonts w:ascii="Times New Roman" w:cs="Times New Roman" w:eastAsia="Times New Roman" w:hAnsi="Times New Roman"/>
          <w:sz w:val="18"/>
          <w:szCs w:val="18"/>
          <w:color w:val="auto"/>
        </w:rPr>
        <w:t xml:space="preserve"> This Agreement supersedes all prior agreements and understandings, oral, written and implied, between the parties hereto with respect to the subject matter hereof. All such prior agreements and understandings are hereby terminated and deemed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2125345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080" w:top="1417" w:right="61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5"/>
          <w:szCs w:val="15"/>
          <w:b w:val="1"/>
          <w:bCs w:val="1"/>
          <w:color w:val="auto"/>
        </w:rPr>
        <w:t>ITNESS</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5"/>
          <w:szCs w:val="15"/>
          <w:b w:val="1"/>
          <w:bCs w:val="1"/>
          <w:color w:val="auto"/>
        </w:rPr>
        <w:t>HEREOF</w:t>
      </w:r>
      <w:r>
        <w:rPr>
          <w:rFonts w:ascii="Times New Roman" w:cs="Times New Roman" w:eastAsia="Times New Roman" w:hAnsi="Times New Roman"/>
          <w:sz w:val="19"/>
          <w:szCs w:val="19"/>
          <w:color w:val="auto"/>
        </w:rPr>
        <w:t>, the parties hereto have executed this Agreement on and as of the day and year first above written.</w:t>
      </w:r>
    </w:p>
    <w:p>
      <w:pPr>
        <w:sectPr>
          <w:pgSz w:w="11900" w:h="16838" w:orient="portrait"/>
          <w:cols w:equalWidth="0" w:num="1">
            <w:col w:w="11240"/>
          </w:cols>
          <w:pgMar w:left="320" w:top="1409" w:right="3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80" w:type="dxa"/>
            <w:vAlign w:val="bottom"/>
            <w:gridSpan w:val="3"/>
          </w:tcPr>
          <w:p>
            <w:pPr>
              <w:jc w:val="center"/>
              <w:ind w:left="1426"/>
              <w:spacing w:after="0"/>
              <w:rPr>
                <w:sz w:val="20"/>
                <w:szCs w:val="20"/>
                <w:color w:val="auto"/>
              </w:rPr>
            </w:pPr>
            <w:r>
              <w:rPr>
                <w:rFonts w:ascii="Times New Roman" w:cs="Times New Roman" w:eastAsia="Times New Roman" w:hAnsi="Times New Roman"/>
                <w:sz w:val="18"/>
                <w:szCs w:val="18"/>
                <w:b w:val="1"/>
                <w:bCs w:val="1"/>
                <w:color w:val="auto"/>
                <w:w w:val="99"/>
              </w:rPr>
              <w:t>PYXIS ONCOLOGY, INC.</w:t>
            </w:r>
          </w:p>
        </w:tc>
      </w:tr>
      <w:tr>
        <w:trPr>
          <w:trHeight w:val="282"/>
        </w:trPr>
        <w:tc>
          <w:tcPr>
            <w:tcW w:w="2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80" w:type="dxa"/>
            <w:vAlign w:val="bottom"/>
            <w:gridSpan w:val="3"/>
          </w:tcPr>
          <w:p>
            <w:pPr>
              <w:jc w:val="center"/>
              <w:ind w:left="1406"/>
              <w:spacing w:after="0"/>
              <w:rPr>
                <w:sz w:val="20"/>
                <w:szCs w:val="20"/>
                <w:color w:val="auto"/>
              </w:rPr>
            </w:pPr>
            <w:r>
              <w:rPr>
                <w:rFonts w:ascii="Times New Roman" w:cs="Times New Roman" w:eastAsia="Times New Roman" w:hAnsi="Times New Roman"/>
                <w:sz w:val="22"/>
                <w:szCs w:val="22"/>
                <w:color w:val="auto"/>
                <w:w w:val="97"/>
              </w:rPr>
              <w:t>a Delaware corporation</w:t>
            </w:r>
          </w:p>
        </w:tc>
      </w:tr>
      <w:tr>
        <w:trPr>
          <w:trHeight w:val="596"/>
        </w:trPr>
        <w:tc>
          <w:tcPr>
            <w:tcW w:w="356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rPr>
              <w:t>By: /s/ Lara Sullivan</w:t>
            </w:r>
          </w:p>
        </w:tc>
        <w:tc>
          <w:tcPr>
            <w:tcW w:w="7680" w:type="dxa"/>
            <w:vAlign w:val="bottom"/>
            <w:gridSpan w:val="3"/>
          </w:tcPr>
          <w:p>
            <w:pPr>
              <w:ind w:left="4140"/>
              <w:spacing w:after="0"/>
              <w:rPr>
                <w:sz w:val="20"/>
                <w:szCs w:val="20"/>
                <w:color w:val="auto"/>
              </w:rPr>
            </w:pPr>
            <w:r>
              <w:rPr>
                <w:rFonts w:ascii="Times New Roman" w:cs="Times New Roman" w:eastAsia="Times New Roman" w:hAnsi="Times New Roman"/>
                <w:sz w:val="18"/>
                <w:szCs w:val="18"/>
                <w:color w:val="auto"/>
              </w:rPr>
              <w:t>By: /s/ John Flavin</w:t>
            </w:r>
          </w:p>
        </w:tc>
      </w:tr>
      <w:tr>
        <w:trPr>
          <w:trHeight w:val="20"/>
        </w:trPr>
        <w:tc>
          <w:tcPr>
            <w:tcW w:w="2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8"/>
        </w:trPr>
        <w:tc>
          <w:tcPr>
            <w:tcW w:w="356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rPr>
              <w:t>Lara S. Sullivan</w:t>
            </w:r>
          </w:p>
        </w:tc>
        <w:tc>
          <w:tcPr>
            <w:tcW w:w="7680" w:type="dxa"/>
            <w:vAlign w:val="bottom"/>
            <w:gridSpan w:val="3"/>
          </w:tcPr>
          <w:p>
            <w:pPr>
              <w:ind w:left="4140"/>
              <w:spacing w:after="0"/>
              <w:rPr>
                <w:sz w:val="20"/>
                <w:szCs w:val="20"/>
                <w:color w:val="auto"/>
              </w:rPr>
            </w:pPr>
            <w:r>
              <w:rPr>
                <w:rFonts w:ascii="Times New Roman" w:cs="Times New Roman" w:eastAsia="Times New Roman" w:hAnsi="Times New Roman"/>
                <w:sz w:val="18"/>
                <w:szCs w:val="18"/>
                <w:color w:val="auto"/>
              </w:rPr>
              <w:t>John Flavin</w:t>
            </w:r>
          </w:p>
        </w:tc>
      </w:tr>
      <w:tr>
        <w:trPr>
          <w:trHeight w:val="234"/>
        </w:trPr>
        <w:tc>
          <w:tcPr>
            <w:tcW w:w="2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80" w:type="dxa"/>
            <w:vAlign w:val="bottom"/>
            <w:gridSpan w:val="3"/>
          </w:tcPr>
          <w:p>
            <w:pPr>
              <w:ind w:left="3880"/>
              <w:spacing w:after="0"/>
              <w:rPr>
                <w:sz w:val="20"/>
                <w:szCs w:val="20"/>
                <w:color w:val="auto"/>
              </w:rPr>
            </w:pPr>
            <w:r>
              <w:rPr>
                <w:rFonts w:ascii="Times New Roman" w:cs="Times New Roman" w:eastAsia="Times New Roman" w:hAnsi="Times New Roman"/>
                <w:sz w:val="18"/>
                <w:szCs w:val="18"/>
                <w:color w:val="auto"/>
              </w:rPr>
              <w:t>Chairman</w:t>
            </w:r>
          </w:p>
        </w:tc>
      </w:tr>
      <w:tr>
        <w:trPr>
          <w:trHeight w:val="2275"/>
        </w:trPr>
        <w:tc>
          <w:tcPr>
            <w:tcW w:w="2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Civik, certify that:</w:t>
      </w:r>
    </w:p>
    <w:p>
      <w:pPr>
        <w:spacing w:after="0" w:line="99"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Pyxis Oncology,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Thomas Civik</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Civik</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Jitendra Wadhane, certify that:</w:t>
      </w:r>
    </w:p>
    <w:p>
      <w:pPr>
        <w:spacing w:after="0" w:line="99"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Pyxis Oncology,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Jitendra Wadhane</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Jitendra Wadhane</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Pyxis Oncology,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Thomas Civik</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Civik</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11"/>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Pyxis Oncology,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Jitendra Wadhane</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Jitendra Wadhane</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endash "/>
      <w:numFmt w:val="bullet"/>
      <w:start w:val="1"/>
    </w:lvl>
  </w:abstractNum>
  <w:abstractNum w:abstractNumId="6">
    <w:nsid w:val="440BADFC"/>
    <w:multiLevelType w:val="hybridMultilevel"/>
    <w:lvl w:ilvl="0">
      <w:lvlJc w:val="left"/>
      <w:lvlText w:val="(%1)"/>
      <w:numFmt w:val="lowerRoman"/>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lvl w:ilvl="1">
      <w:lvlJc w:val="left"/>
      <w:lvlText w:val="(%2)"/>
      <w:numFmt w:val="lowerLetter"/>
      <w:start w:val="1"/>
    </w:lvl>
  </w:abstractNum>
  <w:abstractNum w:abstractNumId="38">
    <w:nsid w:val="79A1DEA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39">
    <w:nsid w:val="75C6C33A"/>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40">
    <w:nsid w:val="12E685FB"/>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41">
    <w:nsid w:val="70C6A529"/>
    <w:multiLevelType w:val="hybridMultilevel"/>
    <w:lvl w:ilvl="0">
      <w:lvlJc w:val="left"/>
      <w:lvlText w:val="%1."/>
      <w:numFmt w:val="decimal"/>
      <w:start w:val="4"/>
    </w:lvl>
  </w:abstractNum>
  <w:abstractNum w:abstractNumId="42">
    <w:nsid w:val="520EEDD1"/>
    <w:multiLevelType w:val="hybridMultilevel"/>
    <w:lvl w:ilvl="0">
      <w:lvlJc w:val="left"/>
      <w:lvlText w:val="%1"/>
      <w:numFmt w:val="lowerLetter"/>
      <w:start w:val="1"/>
    </w:lvl>
    <w:lvl w:ilvl="1">
      <w:lvlJc w:val="left"/>
      <w:lvlText w:val="%2."/>
      <w:numFmt w:val="decimal"/>
      <w:start w:val="9"/>
    </w:lvl>
  </w:abstractNum>
  <w:abstractNum w:abstractNumId="43">
    <w:nsid w:val="374A3FE6"/>
    <w:multiLevelType w:val="hybridMultilevel"/>
    <w:lvl w:ilvl="0">
      <w:lvlJc w:val="left"/>
      <w:lvlText w:val="(%1)"/>
      <w:numFmt w:val="lowerLetter"/>
      <w:start w:val="1"/>
    </w:lvl>
    <w:lvl w:ilvl="1">
      <w:lvlJc w:val="left"/>
      <w:lvlText w:val="%2"/>
      <w:numFmt w:val="decimal"/>
      <w:start w:val="1"/>
    </w:lvl>
  </w:abstractNum>
  <w:abstractNum w:abstractNumId="44">
    <w:nsid w:val="4F4EF005"/>
    <w:multiLevelType w:val="hybridMultilevel"/>
    <w:lvl w:ilvl="0">
      <w:lvlJc w:val="left"/>
      <w:lvlText w:val="(%1)"/>
      <w:numFmt w:val="lowerLetter"/>
      <w:start w:val="9"/>
    </w:lvl>
    <w:lvl w:ilvl="1">
      <w:lvlJc w:val="left"/>
      <w:lvlText w:val="%2."/>
      <w:numFmt w:val="decimal"/>
      <w:start w:val="10"/>
    </w:lvl>
  </w:abstractNum>
  <w:abstractNum w:abstractNumId="45">
    <w:nsid w:val="23F9C13C"/>
    <w:multiLevelType w:val="hybridMultilevel"/>
    <w:lvl w:ilvl="0">
      <w:lvlJc w:val="left"/>
      <w:lvlText w:val="%1."/>
      <w:numFmt w:val="upperLetter"/>
      <w:start w:val="1"/>
    </w:lvl>
  </w:abstractNum>
  <w:abstractNum w:abstractNumId="46">
    <w:nsid w:val="649BB77C"/>
    <w:multiLevelType w:val="hybridMultilevel"/>
    <w:lvl w:ilvl="0">
      <w:lvlJc w:val="left"/>
      <w:lvlText w:val="%1."/>
      <w:numFmt w:val="decimal"/>
      <w:start w:val="1"/>
    </w:lvl>
    <w:lvl w:ilvl="1">
      <w:lvlJc w:val="left"/>
      <w:lvlText w:val="(%2)"/>
      <w:numFmt w:val="lowerRoman"/>
      <w:start w:val="1"/>
    </w:lvl>
  </w:abstractNum>
  <w:abstractNum w:abstractNumId="47">
    <w:nsid w:val="275AC794"/>
    <w:multiLevelType w:val="hybridMultilevel"/>
    <w:lvl w:ilvl="0">
      <w:lvlJc w:val="left"/>
      <w:lvlText w:val="%1"/>
      <w:numFmt w:val="lowerRoman"/>
      <w:start w:val="1"/>
    </w:lvl>
    <w:lvl w:ilvl="1">
      <w:lvlJc w:val="left"/>
      <w:lvlText w:val="(%2)"/>
      <w:numFmt w:val="upperLetter"/>
      <w:start w:val="1"/>
    </w:lvl>
  </w:abstractNum>
  <w:abstractNum w:abstractNumId="48">
    <w:nsid w:val="39386575"/>
    <w:multiLevelType w:val="hybridMultilevel"/>
    <w:lvl w:ilvl="0">
      <w:lvlJc w:val="left"/>
      <w:lvlText w:val="(%1)"/>
      <w:numFmt w:val="lowerRoman"/>
      <w:start w:val="3"/>
    </w:lvl>
    <w:lvl w:ilvl="1">
      <w:lvlJc w:val="left"/>
      <w:lvlText w:val="%2"/>
      <w:numFmt w:val="upperLetter"/>
      <w:start w:val="1"/>
    </w:lvl>
  </w:abstractNum>
  <w:abstractNum w:abstractNumId="49">
    <w:nsid w:val="1CF10FD8"/>
    <w:multiLevelType w:val="hybridMultilevel"/>
    <w:lvl w:ilvl="0">
      <w:lvlJc w:val="left"/>
      <w:lvlText w:val="(%1)"/>
      <w:numFmt w:val="lowerRoman"/>
      <w:start w:val="4"/>
    </w:lvl>
  </w:abstractNum>
  <w:abstractNum w:abstractNumId="50">
    <w:nsid w:val="180115BE"/>
    <w:multiLevelType w:val="hybridMultilevel"/>
    <w:lvl w:ilvl="0">
      <w:lvlJc w:val="left"/>
      <w:lvlText w:val="%1."/>
      <w:numFmt w:val="decimal"/>
      <w:start w:val="2"/>
    </w:lvl>
    <w:lvl w:ilvl="1">
      <w:lvlJc w:val="left"/>
      <w:lvlText w:val="(%2)"/>
      <w:numFmt w:val="lowerLetter"/>
      <w:start w:val="1"/>
    </w:lvl>
  </w:abstractNum>
  <w:abstractNum w:abstractNumId="51">
    <w:nsid w:val="235BA861"/>
    <w:multiLevelType w:val="hybridMultilevel"/>
    <w:lvl w:ilvl="0">
      <w:lvlJc w:val="left"/>
      <w:lvlText w:val="%1"/>
      <w:numFmt w:val="decimal"/>
      <w:start w:val="1"/>
    </w:lvl>
    <w:lvl w:ilvl="1">
      <w:lvlJc w:val="left"/>
      <w:lvlText w:val="(%2)"/>
      <w:numFmt w:val="lowerLetter"/>
      <w:start w:val="5"/>
    </w:lvl>
  </w:abstractNum>
  <w:abstractNum w:abstractNumId="52">
    <w:nsid w:val="47398C89"/>
    <w:multiLevelType w:val="hybridMultilevel"/>
    <w:lvl w:ilvl="0">
      <w:lvlJc w:val="left"/>
      <w:lvlText w:val="%1."/>
      <w:numFmt w:val="decimal"/>
      <w:start w:val="3"/>
    </w:lvl>
    <w:lvl w:ilvl="1">
      <w:lvlJc w:val="left"/>
      <w:lvlText w:val="(%2)"/>
      <w:numFmt w:val="lowerLetter"/>
      <w:start w:val="1"/>
    </w:lvl>
  </w:abstractNum>
  <w:abstractNum w:abstractNumId="53">
    <w:nsid w:val="354FE9F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4">
    <w:nsid w:val="15B5AF5C"/>
    <w:multiLevelType w:val="hybridMultilevel"/>
    <w:lvl w:ilvl="0">
      <w:lvlJc w:val="left"/>
      <w:lvlText w:val="%1"/>
      <w:numFmt w:val="decimal"/>
      <w:start w:val="1"/>
    </w:lvl>
    <w:lvl w:ilvl="1">
      <w:lvlJc w:val="left"/>
      <w:lvlText w:val="(%2)"/>
      <w:numFmt w:val="lowerLetter"/>
      <w:start w:val="4"/>
    </w:lvl>
  </w:abstractNum>
  <w:abstractNum w:abstractNumId="55">
    <w:nsid w:val="741226BB"/>
    <w:multiLevelType w:val="hybridMultilevel"/>
    <w:lvl w:ilvl="0">
      <w:lvlJc w:val="left"/>
      <w:lvlText w:val="%1."/>
      <w:numFmt w:val="decimal"/>
      <w:start w:val="5"/>
    </w:lvl>
    <w:lvl w:ilvl="1">
      <w:lvlJc w:val="left"/>
      <w:lvlText w:val="(%2)"/>
      <w:numFmt w:val="lowerLetter"/>
      <w:start w:val="1"/>
    </w:lvl>
  </w:abstractNum>
  <w:abstractNum w:abstractNumId="56">
    <w:nsid w:val="D34B6A8"/>
    <w:multiLevelType w:val="hybridMultilevel"/>
    <w:lvl w:ilvl="0">
      <w:lvlJc w:val="left"/>
      <w:lvlText w:val="%1"/>
      <w:numFmt w:val="decimal"/>
      <w:start w:val="1"/>
    </w:lvl>
    <w:lvl w:ilvl="1">
      <w:lvlJc w:val="left"/>
      <w:lvlText w:val="(%2)"/>
      <w:numFmt w:val="lowerLetter"/>
      <w:start w:val="2"/>
    </w:lvl>
  </w:abstractNum>
  <w:abstractNum w:abstractNumId="57">
    <w:nsid w:val="10233C99"/>
    <w:multiLevelType w:val="hybridMultilevel"/>
    <w:lvl w:ilvl="0">
      <w:lvlJc w:val="left"/>
      <w:lvlText w:val="%1."/>
      <w:numFmt w:val="decimal"/>
      <w:start w:val="6"/>
    </w:lvl>
    <w:lvl w:ilvl="1">
      <w:lvlJc w:val="left"/>
      <w:lvlText w:val="%2"/>
      <w:numFmt w:val="lowerLetter"/>
      <w:start w:val="1"/>
    </w:lvl>
  </w:abstractNum>
  <w:abstractNum w:abstractNumId="58">
    <w:nsid w:val="3F6AB60F"/>
    <w:multiLevelType w:val="hybridMultilevel"/>
    <w:lvl w:ilvl="0">
      <w:lvlJc w:val="left"/>
      <w:lvlText w:val="%1."/>
      <w:numFmt w:val="decimal"/>
      <w:start w:val="8"/>
    </w:lvl>
    <w:lvl w:ilvl="1">
      <w:lvlJc w:val="left"/>
      <w:lvlText w:val="(%2)"/>
      <w:numFmt w:val="lowerLetter"/>
      <w:start w:val="1"/>
    </w:lvl>
  </w:abstractNum>
  <w:abstractNum w:abstractNumId="59">
    <w:nsid w:val="61574095"/>
    <w:multiLevelType w:val="hybridMultilevel"/>
    <w:lvl w:ilvl="0">
      <w:lvlJc w:val="left"/>
      <w:lvlText w:val="(%1)"/>
      <w:numFmt w:val="lowerLetter"/>
      <w:start w:val="4"/>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2026-05-14T07:00:49Z</dcterms:created>
  <dcterms:modified xsi:type="dcterms:W3CDTF">2026-05-14T07:00:49Z</dcterms:modified>
</cp:coreProperties>
</file>